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临汾市</w:t>
      </w:r>
      <w:r>
        <w:rPr>
          <w:rFonts w:hint="eastAsia" w:ascii="方正小标宋简体" w:hAnsi="方正小标宋简体" w:eastAsia="方正小标宋简体" w:cs="方正小标宋简体"/>
          <w:color w:val="auto"/>
          <w:sz w:val="32"/>
          <w:szCs w:val="32"/>
          <w:lang w:val="en-US" w:eastAsia="zh-CN"/>
        </w:rPr>
        <w:t>儿童玩具</w:t>
      </w:r>
      <w:r>
        <w:rPr>
          <w:rFonts w:ascii="方正小标宋简体" w:hAnsi="方正小标宋简体" w:eastAsia="方正小标宋简体" w:cs="方正小标宋简体"/>
          <w:color w:val="auto"/>
          <w:sz w:val="32"/>
          <w:szCs w:val="32"/>
        </w:rPr>
        <w:t>产品质量监督抽查实施细则</w:t>
      </w:r>
    </w:p>
    <w:p>
      <w:pPr>
        <w:pStyle w:val="16"/>
        <w:tabs>
          <w:tab w:val="left" w:pos="438"/>
        </w:tabs>
        <w:autoSpaceDE w:val="0"/>
        <w:autoSpaceDN w:val="0"/>
        <w:spacing w:before="156" w:beforeLines="50" w:after="156" w:afterLines="50" w:line="440" w:lineRule="exact"/>
        <w:ind w:firstLine="0" w:firstLineChars="0"/>
        <w:jc w:val="left"/>
        <w:rPr>
          <w:rFonts w:ascii="黑体" w:hAnsi="黑体" w:eastAsia="黑体" w:cs="黑体"/>
          <w:color w:val="auto"/>
          <w:szCs w:val="24"/>
          <w:lang w:val="zh-CN" w:bidi="zh-CN"/>
        </w:rPr>
      </w:pPr>
      <w:r>
        <w:rPr>
          <w:rFonts w:ascii="黑体" w:hAnsi="黑体" w:eastAsia="黑体" w:cs="黑体"/>
          <w:color w:val="auto"/>
          <w:szCs w:val="24"/>
          <w:lang w:val="zh-CN" w:bidi="zh-CN"/>
        </w:rPr>
        <w:t>1 抽样方法</w:t>
      </w:r>
    </w:p>
    <w:p>
      <w:pPr>
        <w:snapToGrid w:val="0"/>
        <w:spacing w:line="440" w:lineRule="exact"/>
        <w:ind w:firstLine="420" w:firstLineChars="200"/>
        <w:rPr>
          <w:color w:val="auto"/>
          <w:szCs w:val="21"/>
        </w:rPr>
      </w:pPr>
      <w:r>
        <w:rPr>
          <w:color w:val="auto"/>
          <w:szCs w:val="21"/>
        </w:rPr>
        <w:t>以随机抽样的方式在被抽样生产者、销售者的待销产品中抽取。</w:t>
      </w:r>
    </w:p>
    <w:p>
      <w:pPr>
        <w:snapToGrid w:val="0"/>
        <w:spacing w:line="440" w:lineRule="exact"/>
        <w:ind w:firstLine="420" w:firstLineChars="200"/>
        <w:rPr>
          <w:color w:val="auto"/>
          <w:szCs w:val="21"/>
        </w:rPr>
      </w:pPr>
      <w:r>
        <w:rPr>
          <w:color w:val="auto"/>
          <w:szCs w:val="21"/>
        </w:rPr>
        <w:t>随机数一般可使用随机数表等方法产生。</w:t>
      </w:r>
    </w:p>
    <w:p>
      <w:pPr>
        <w:snapToGrid w:val="0"/>
        <w:spacing w:line="440" w:lineRule="exact"/>
        <w:ind w:firstLine="420" w:firstLineChars="200"/>
        <w:rPr>
          <w:rFonts w:hint="eastAsia" w:cs="Times New Roman"/>
          <w:color w:val="000000"/>
          <w:szCs w:val="21"/>
          <w:lang w:val="en-US" w:eastAsia="zh-CN"/>
        </w:rPr>
      </w:pPr>
      <w:r>
        <w:rPr>
          <w:rFonts w:hint="eastAsia" w:ascii="Times New Roman" w:hAnsi="Times New Roman" w:eastAsia="宋体" w:cs="Times New Roman"/>
          <w:color w:val="000000"/>
          <w:szCs w:val="21"/>
          <w:lang w:val="en-US" w:eastAsia="zh-CN"/>
        </w:rPr>
        <w:t>抽取样品数量</w:t>
      </w:r>
      <w:r>
        <w:rPr>
          <w:rFonts w:hint="eastAsia" w:cs="Times New Roman"/>
          <w:color w:val="000000"/>
          <w:szCs w:val="21"/>
          <w:lang w:val="en-US" w:eastAsia="zh-CN"/>
        </w:rPr>
        <w:t>如下：</w:t>
      </w:r>
    </w:p>
    <w:p>
      <w:pPr>
        <w:spacing w:line="440" w:lineRule="exact"/>
        <w:ind w:firstLine="420"/>
        <w:jc w:val="left"/>
        <w:rPr>
          <w:szCs w:val="21"/>
        </w:rPr>
      </w:pPr>
      <w:r>
        <w:rPr>
          <w:szCs w:val="21"/>
        </w:rPr>
        <w:t>每批次抽样数量3个，其中2个作为检验样品，1个作为备用样品。</w:t>
      </w:r>
    </w:p>
    <w:p>
      <w:pPr>
        <w:pStyle w:val="16"/>
        <w:tabs>
          <w:tab w:val="left" w:pos="438"/>
        </w:tabs>
        <w:autoSpaceDE w:val="0"/>
        <w:autoSpaceDN w:val="0"/>
        <w:spacing w:before="156" w:beforeLines="50" w:after="156" w:afterLines="50" w:line="440" w:lineRule="exact"/>
        <w:ind w:firstLine="0" w:firstLineChars="0"/>
        <w:jc w:val="left"/>
        <w:rPr>
          <w:rFonts w:ascii="黑体" w:hAnsi="黑体" w:eastAsia="黑体" w:cs="黑体"/>
          <w:color w:val="auto"/>
          <w:szCs w:val="24"/>
          <w:lang w:val="zh-CN" w:bidi="zh-CN"/>
        </w:rPr>
      </w:pPr>
      <w:r>
        <w:rPr>
          <w:rFonts w:ascii="黑体" w:hAnsi="黑体" w:eastAsia="黑体" w:cs="黑体"/>
          <w:color w:val="auto"/>
          <w:szCs w:val="24"/>
          <w:lang w:val="zh-CN" w:bidi="zh-CN"/>
        </w:rPr>
        <w:t>2 检验依据</w:t>
      </w:r>
    </w:p>
    <w:p>
      <w:pPr>
        <w:pStyle w:val="16"/>
        <w:tabs>
          <w:tab w:val="left" w:pos="438"/>
        </w:tabs>
        <w:autoSpaceDE w:val="0"/>
        <w:autoSpaceDN w:val="0"/>
        <w:spacing w:before="156" w:beforeLines="50" w:after="156" w:afterLines="50" w:line="440" w:lineRule="exact"/>
        <w:ind w:firstLine="0" w:firstLineChars="0"/>
        <w:jc w:val="center"/>
        <w:rPr>
          <w:rFonts w:hint="eastAsia" w:ascii="黑体" w:hAnsi="黑体" w:eastAsia="黑体" w:cs="黑体"/>
          <w:color w:val="auto"/>
          <w:szCs w:val="24"/>
          <w:lang w:val="zh-CN" w:bidi="zh-CN"/>
        </w:rPr>
      </w:pPr>
      <w:r>
        <w:rPr>
          <w:rFonts w:hint="eastAsia" w:ascii="宋体" w:hAnsi="宋体" w:eastAsia="宋体" w:cs="Times New Roman"/>
          <w:szCs w:val="21"/>
          <w:lang w:val="en-US" w:eastAsia="zh-CN"/>
        </w:rPr>
        <w:t>表</w:t>
      </w:r>
      <w:r>
        <w:rPr>
          <w:rFonts w:hint="eastAsia" w:cs="Times New Roman"/>
          <w:szCs w:val="21"/>
          <w:lang w:val="en-US" w:eastAsia="zh-CN"/>
        </w:rPr>
        <w:t>1</w:t>
      </w:r>
      <w:r>
        <w:rPr>
          <w:rFonts w:hint="eastAsia" w:ascii="Times New Roman" w:hAnsi="Times New Roman" w:eastAsia="宋体" w:cs="Times New Roman"/>
          <w:szCs w:val="21"/>
          <w:lang w:val="en-US" w:eastAsia="zh-CN"/>
        </w:rPr>
        <w:t xml:space="preserve"> </w:t>
      </w:r>
      <w:r>
        <w:rPr>
          <w:rFonts w:hint="eastAsia" w:ascii="宋体" w:hAnsi="宋体" w:eastAsia="宋体" w:cs="Times New Roman"/>
          <w:szCs w:val="21"/>
          <w:lang w:val="en-US" w:eastAsia="zh-CN"/>
        </w:rPr>
        <w:t>儿童玩具</w:t>
      </w:r>
    </w:p>
    <w:tbl>
      <w:tblPr>
        <w:tblStyle w:val="9"/>
        <w:tblW w:w="43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2519"/>
        <w:gridCol w:w="4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35" w:type="pct"/>
            <w:noWrap w:val="0"/>
            <w:vAlign w:val="center"/>
          </w:tcPr>
          <w:p>
            <w:pPr>
              <w:spacing w:line="300" w:lineRule="exact"/>
              <w:jc w:val="center"/>
              <w:rPr>
                <w:szCs w:val="21"/>
              </w:rPr>
            </w:pPr>
            <w:r>
              <w:rPr>
                <w:szCs w:val="21"/>
              </w:rPr>
              <w:t>序号</w:t>
            </w:r>
          </w:p>
        </w:tc>
        <w:tc>
          <w:tcPr>
            <w:tcW w:w="1579" w:type="pct"/>
            <w:noWrap w:val="0"/>
            <w:vAlign w:val="center"/>
          </w:tcPr>
          <w:p>
            <w:pPr>
              <w:spacing w:line="300" w:lineRule="exact"/>
              <w:jc w:val="center"/>
              <w:rPr>
                <w:szCs w:val="21"/>
              </w:rPr>
            </w:pPr>
            <w:r>
              <w:rPr>
                <w:szCs w:val="21"/>
              </w:rPr>
              <w:t>检验项目</w:t>
            </w:r>
          </w:p>
        </w:tc>
        <w:tc>
          <w:tcPr>
            <w:tcW w:w="2785" w:type="pct"/>
            <w:noWrap w:val="0"/>
            <w:vAlign w:val="center"/>
          </w:tcPr>
          <w:p>
            <w:pPr>
              <w:spacing w:line="300" w:lineRule="exact"/>
              <w:jc w:val="center"/>
              <w:rPr>
                <w:szCs w:val="21"/>
              </w:rPr>
            </w:pPr>
            <w:r>
              <w:rPr>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3"/>
            <w:noWrap w:val="0"/>
            <w:vAlign w:val="center"/>
          </w:tcPr>
          <w:p>
            <w:pPr>
              <w:pStyle w:val="5"/>
              <w:spacing w:line="300" w:lineRule="exact"/>
              <w:jc w:val="left"/>
              <w:rPr>
                <w:rFonts w:ascii="Times New Roman" w:hAnsi="Times New Roman"/>
                <w:bCs/>
                <w:sz w:val="21"/>
                <w:szCs w:val="21"/>
              </w:rPr>
            </w:pPr>
            <w:r>
              <w:rPr>
                <w:rFonts w:ascii="Times New Roman" w:hAnsi="Times New Roman"/>
                <w:bCs/>
                <w:sz w:val="21"/>
                <w:szCs w:val="21"/>
              </w:rPr>
              <w:t>一、机械与物理性能</w:t>
            </w:r>
            <w:r>
              <w:rPr>
                <w:rFonts w:hint="eastAsia" w:ascii="Times New Roman" w:hAnsi="Times New Roman"/>
                <w:bCs/>
                <w:sz w:val="21"/>
                <w:szCs w:val="21"/>
              </w:rPr>
              <w:t>（正常使用和可预见的合理滥用）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1</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材料</w:t>
            </w:r>
          </w:p>
        </w:tc>
        <w:tc>
          <w:tcPr>
            <w:tcW w:w="2785" w:type="pct"/>
            <w:noWrap w:val="0"/>
            <w:vAlign w:val="center"/>
          </w:tcPr>
          <w:p>
            <w:pPr>
              <w:pStyle w:val="5"/>
              <w:spacing w:line="300" w:lineRule="exact"/>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2</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小零件</w:t>
            </w:r>
          </w:p>
        </w:tc>
        <w:tc>
          <w:tcPr>
            <w:tcW w:w="2785" w:type="pct"/>
            <w:noWrap w:val="0"/>
            <w:vAlign w:val="center"/>
          </w:tcPr>
          <w:p>
            <w:pPr>
              <w:pStyle w:val="5"/>
              <w:spacing w:line="300" w:lineRule="exact"/>
              <w:jc w:val="center"/>
              <w:rPr>
                <w:rFonts w:ascii="Times New Roman" w:hAnsi="Times New Roman"/>
                <w:bCs/>
                <w:sz w:val="21"/>
                <w:szCs w:val="21"/>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3</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挤压玩具、摇铃及类似玩具</w:t>
            </w:r>
          </w:p>
        </w:tc>
        <w:tc>
          <w:tcPr>
            <w:tcW w:w="2785" w:type="pct"/>
            <w:noWrap w:val="0"/>
            <w:vAlign w:val="center"/>
          </w:tcPr>
          <w:p>
            <w:pPr>
              <w:pStyle w:val="5"/>
              <w:spacing w:line="300" w:lineRule="exact"/>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4</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小球</w:t>
            </w:r>
          </w:p>
        </w:tc>
        <w:tc>
          <w:tcPr>
            <w:tcW w:w="2785" w:type="pct"/>
            <w:noWrap w:val="0"/>
            <w:vAlign w:val="center"/>
          </w:tcPr>
          <w:p>
            <w:pPr>
              <w:pStyle w:val="5"/>
              <w:spacing w:line="300" w:lineRule="exact"/>
              <w:jc w:val="center"/>
              <w:rPr>
                <w:rFonts w:ascii="Times New Roman" w:hAnsi="Times New Roman"/>
                <w:bCs/>
                <w:sz w:val="21"/>
                <w:szCs w:val="21"/>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5</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毛球</w:t>
            </w:r>
          </w:p>
        </w:tc>
        <w:tc>
          <w:tcPr>
            <w:tcW w:w="2785" w:type="pct"/>
            <w:noWrap w:val="0"/>
            <w:vAlign w:val="center"/>
          </w:tcPr>
          <w:p>
            <w:pPr>
              <w:pStyle w:val="5"/>
              <w:spacing w:line="300" w:lineRule="exact"/>
              <w:jc w:val="center"/>
              <w:rPr>
                <w:rFonts w:ascii="Times New Roman" w:hAnsi="Times New Roman"/>
                <w:bCs/>
                <w:sz w:val="21"/>
                <w:szCs w:val="21"/>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6</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学前玩偶</w:t>
            </w:r>
          </w:p>
        </w:tc>
        <w:tc>
          <w:tcPr>
            <w:tcW w:w="2785" w:type="pct"/>
            <w:noWrap w:val="0"/>
            <w:vAlign w:val="center"/>
          </w:tcPr>
          <w:p>
            <w:pPr>
              <w:pStyle w:val="5"/>
              <w:spacing w:line="300" w:lineRule="exact"/>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7</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玩具奶嘴</w:t>
            </w:r>
          </w:p>
        </w:tc>
        <w:tc>
          <w:tcPr>
            <w:tcW w:w="2785" w:type="pct"/>
            <w:noWrap w:val="0"/>
            <w:vAlign w:val="center"/>
          </w:tcPr>
          <w:p>
            <w:pPr>
              <w:pStyle w:val="5"/>
              <w:spacing w:line="300" w:lineRule="exact"/>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8</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气球</w:t>
            </w:r>
          </w:p>
        </w:tc>
        <w:tc>
          <w:tcPr>
            <w:tcW w:w="2785" w:type="pct"/>
            <w:noWrap w:val="0"/>
            <w:vAlign w:val="center"/>
          </w:tcPr>
          <w:p>
            <w:pPr>
              <w:pStyle w:val="5"/>
              <w:spacing w:line="300" w:lineRule="exact"/>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9</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弹珠</w:t>
            </w:r>
          </w:p>
        </w:tc>
        <w:tc>
          <w:tcPr>
            <w:tcW w:w="2785" w:type="pct"/>
            <w:noWrap w:val="0"/>
            <w:vAlign w:val="center"/>
          </w:tcPr>
          <w:p>
            <w:pPr>
              <w:pStyle w:val="5"/>
              <w:spacing w:line="300" w:lineRule="exact"/>
              <w:jc w:val="center"/>
              <w:rPr>
                <w:rFonts w:ascii="Times New Roman" w:hAnsi="Times New Roman"/>
                <w:bCs/>
                <w:sz w:val="21"/>
                <w:szCs w:val="21"/>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10</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半球形玩具</w:t>
            </w:r>
          </w:p>
        </w:tc>
        <w:tc>
          <w:tcPr>
            <w:tcW w:w="2785" w:type="pct"/>
            <w:noWrap w:val="0"/>
            <w:vAlign w:val="center"/>
          </w:tcPr>
          <w:p>
            <w:pPr>
              <w:pStyle w:val="5"/>
              <w:spacing w:line="300" w:lineRule="exact"/>
              <w:jc w:val="center"/>
              <w:rPr>
                <w:rFonts w:ascii="Times New Roman" w:hAnsi="Times New Roman"/>
                <w:bCs/>
                <w:sz w:val="21"/>
                <w:szCs w:val="21"/>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11</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可触及的金属或玻璃边缘</w:t>
            </w:r>
          </w:p>
        </w:tc>
        <w:tc>
          <w:tcPr>
            <w:tcW w:w="2785" w:type="pct"/>
            <w:noWrap w:val="0"/>
            <w:vAlign w:val="center"/>
          </w:tcPr>
          <w:p>
            <w:pPr>
              <w:pStyle w:val="5"/>
              <w:spacing w:line="300" w:lineRule="exact"/>
              <w:jc w:val="center"/>
              <w:rPr>
                <w:rFonts w:ascii="Times New Roman" w:hAnsi="Times New Roman"/>
                <w:bCs/>
                <w:sz w:val="21"/>
                <w:szCs w:val="21"/>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12</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功能性锐利边缘</w:t>
            </w:r>
          </w:p>
        </w:tc>
        <w:tc>
          <w:tcPr>
            <w:tcW w:w="2785" w:type="pct"/>
            <w:noWrap w:val="0"/>
            <w:vAlign w:val="center"/>
          </w:tcPr>
          <w:p>
            <w:pPr>
              <w:pStyle w:val="5"/>
              <w:spacing w:line="300" w:lineRule="exact"/>
              <w:jc w:val="center"/>
              <w:rPr>
                <w:rFonts w:ascii="Times New Roman" w:hAnsi="Times New Roman"/>
                <w:bCs/>
                <w:sz w:val="21"/>
                <w:szCs w:val="21"/>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bookmarkStart w:id="0" w:name="_Hlk28281258"/>
            <w:r>
              <w:rPr>
                <w:rFonts w:ascii="Times New Roman" w:hAnsi="Times New Roman"/>
                <w:bCs/>
                <w:sz w:val="21"/>
                <w:szCs w:val="21"/>
              </w:rPr>
              <w:t>13</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金属玩具边缘</w:t>
            </w:r>
          </w:p>
        </w:tc>
        <w:tc>
          <w:tcPr>
            <w:tcW w:w="2785" w:type="pct"/>
            <w:noWrap w:val="0"/>
            <w:vAlign w:val="center"/>
          </w:tcPr>
          <w:p>
            <w:pPr>
              <w:pStyle w:val="5"/>
              <w:spacing w:line="300" w:lineRule="exact"/>
              <w:jc w:val="center"/>
              <w:rPr>
                <w:rFonts w:ascii="Times New Roman" w:hAnsi="Times New Roman"/>
                <w:bCs/>
                <w:sz w:val="21"/>
                <w:szCs w:val="21"/>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14</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模塑玩具边缘</w:t>
            </w:r>
          </w:p>
        </w:tc>
        <w:tc>
          <w:tcPr>
            <w:tcW w:w="2785" w:type="pct"/>
            <w:noWrap w:val="0"/>
            <w:vAlign w:val="center"/>
          </w:tcPr>
          <w:p>
            <w:pPr>
              <w:pStyle w:val="5"/>
              <w:spacing w:line="300" w:lineRule="exact"/>
              <w:jc w:val="center"/>
              <w:rPr>
                <w:rFonts w:ascii="Times New Roman" w:hAnsi="Times New Roman"/>
                <w:bCs/>
                <w:sz w:val="21"/>
                <w:szCs w:val="21"/>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15</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外露螺栓或螺纹杆的边缘</w:t>
            </w:r>
          </w:p>
        </w:tc>
        <w:tc>
          <w:tcPr>
            <w:tcW w:w="2785" w:type="pct"/>
            <w:noWrap w:val="0"/>
            <w:vAlign w:val="center"/>
          </w:tcPr>
          <w:p>
            <w:pPr>
              <w:pStyle w:val="5"/>
              <w:spacing w:line="300" w:lineRule="exact"/>
              <w:jc w:val="center"/>
              <w:rPr>
                <w:rFonts w:ascii="Times New Roman" w:hAnsi="Times New Roman"/>
                <w:bCs/>
                <w:sz w:val="21"/>
                <w:szCs w:val="21"/>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16</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可触及的锐利尖端</w:t>
            </w:r>
          </w:p>
        </w:tc>
        <w:tc>
          <w:tcPr>
            <w:tcW w:w="2785" w:type="pct"/>
            <w:noWrap w:val="0"/>
            <w:vAlign w:val="center"/>
          </w:tcPr>
          <w:p>
            <w:pPr>
              <w:pStyle w:val="5"/>
              <w:spacing w:line="300" w:lineRule="exact"/>
              <w:jc w:val="center"/>
              <w:rPr>
                <w:rFonts w:ascii="Times New Roman" w:hAnsi="Times New Roman"/>
                <w:bCs/>
                <w:sz w:val="21"/>
                <w:szCs w:val="21"/>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17</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功能性锐利尖端</w:t>
            </w:r>
          </w:p>
        </w:tc>
        <w:tc>
          <w:tcPr>
            <w:tcW w:w="2785" w:type="pct"/>
            <w:noWrap w:val="0"/>
            <w:vAlign w:val="center"/>
          </w:tcPr>
          <w:p>
            <w:pPr>
              <w:pStyle w:val="5"/>
              <w:spacing w:line="300" w:lineRule="exact"/>
              <w:jc w:val="center"/>
              <w:rPr>
                <w:rFonts w:ascii="Times New Roman" w:hAnsi="Times New Roman"/>
                <w:bCs/>
                <w:sz w:val="21"/>
                <w:szCs w:val="21"/>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18</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木制玩具</w:t>
            </w:r>
          </w:p>
        </w:tc>
        <w:tc>
          <w:tcPr>
            <w:tcW w:w="2785" w:type="pct"/>
            <w:noWrap w:val="0"/>
            <w:vAlign w:val="center"/>
          </w:tcPr>
          <w:p>
            <w:pPr>
              <w:pStyle w:val="5"/>
              <w:spacing w:line="300" w:lineRule="exact"/>
              <w:jc w:val="center"/>
              <w:rPr>
                <w:rFonts w:ascii="Times New Roman" w:hAnsi="Times New Roman"/>
                <w:bCs/>
                <w:sz w:val="21"/>
                <w:szCs w:val="21"/>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19</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突出</w:t>
            </w:r>
            <w:r>
              <w:rPr>
                <w:rFonts w:hint="eastAsia" w:ascii="Times New Roman" w:hAnsi="Times New Roman"/>
                <w:bCs/>
                <w:sz w:val="21"/>
                <w:szCs w:val="21"/>
              </w:rPr>
              <w:t>物</w:t>
            </w:r>
          </w:p>
        </w:tc>
        <w:tc>
          <w:tcPr>
            <w:tcW w:w="2785" w:type="pct"/>
            <w:noWrap w:val="0"/>
            <w:vAlign w:val="center"/>
          </w:tcPr>
          <w:p>
            <w:pPr>
              <w:pStyle w:val="5"/>
              <w:spacing w:line="300" w:lineRule="exact"/>
              <w:jc w:val="center"/>
              <w:rPr>
                <w:rFonts w:ascii="Times New Roman" w:hAnsi="Times New Roman"/>
                <w:bCs/>
                <w:sz w:val="21"/>
                <w:szCs w:val="21"/>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20</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用于包装或玩具中的塑料袋或塑料薄膜</w:t>
            </w:r>
          </w:p>
        </w:tc>
        <w:tc>
          <w:tcPr>
            <w:tcW w:w="2785" w:type="pct"/>
            <w:noWrap w:val="0"/>
            <w:vAlign w:val="center"/>
          </w:tcPr>
          <w:p>
            <w:pPr>
              <w:pStyle w:val="5"/>
              <w:spacing w:line="300" w:lineRule="exact"/>
              <w:jc w:val="center"/>
              <w:rPr>
                <w:rFonts w:hint="eastAsia"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21</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18个月以下儿童使用的玩具上的绳索和弹性绳</w:t>
            </w:r>
          </w:p>
        </w:tc>
        <w:tc>
          <w:tcPr>
            <w:tcW w:w="2785" w:type="pct"/>
            <w:noWrap w:val="0"/>
            <w:vAlign w:val="center"/>
          </w:tcPr>
          <w:p>
            <w:pPr>
              <w:pStyle w:val="5"/>
              <w:spacing w:line="300" w:lineRule="exact"/>
              <w:jc w:val="center"/>
              <w:rPr>
                <w:rFonts w:hint="eastAsia"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22</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18个月以下儿童使用的玩具上的自回缩绳</w:t>
            </w:r>
          </w:p>
        </w:tc>
        <w:tc>
          <w:tcPr>
            <w:tcW w:w="2785" w:type="pct"/>
            <w:noWrap w:val="0"/>
            <w:vAlign w:val="center"/>
          </w:tcPr>
          <w:p>
            <w:pPr>
              <w:pStyle w:val="5"/>
              <w:spacing w:line="300" w:lineRule="exact"/>
              <w:jc w:val="center"/>
              <w:rPr>
                <w:rFonts w:hint="eastAsia"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23</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36个月以下儿童使用的拖拉玩具上的绳索或弹性绳</w:t>
            </w:r>
          </w:p>
        </w:tc>
        <w:tc>
          <w:tcPr>
            <w:tcW w:w="2785" w:type="pct"/>
            <w:noWrap w:val="0"/>
            <w:vAlign w:val="center"/>
          </w:tcPr>
          <w:p>
            <w:pPr>
              <w:pStyle w:val="5"/>
              <w:spacing w:line="300" w:lineRule="exact"/>
              <w:jc w:val="center"/>
              <w:rPr>
                <w:rFonts w:hint="eastAsia"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24</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玩具袋上的绳索</w:t>
            </w:r>
          </w:p>
        </w:tc>
        <w:tc>
          <w:tcPr>
            <w:tcW w:w="2785" w:type="pct"/>
            <w:noWrap w:val="0"/>
            <w:vAlign w:val="center"/>
          </w:tcPr>
          <w:p>
            <w:pPr>
              <w:pStyle w:val="5"/>
              <w:spacing w:line="300" w:lineRule="exact"/>
              <w:jc w:val="center"/>
              <w:rPr>
                <w:rFonts w:hint="eastAsia"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25</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铰链间隙</w:t>
            </w:r>
          </w:p>
        </w:tc>
        <w:tc>
          <w:tcPr>
            <w:tcW w:w="2785" w:type="pct"/>
            <w:noWrap w:val="0"/>
            <w:vAlign w:val="center"/>
          </w:tcPr>
          <w:p>
            <w:pPr>
              <w:pStyle w:val="5"/>
              <w:spacing w:line="300" w:lineRule="exact"/>
              <w:jc w:val="center"/>
              <w:rPr>
                <w:rFonts w:hint="eastAsia"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26</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刚性材料上的圆孔</w:t>
            </w:r>
          </w:p>
        </w:tc>
        <w:tc>
          <w:tcPr>
            <w:tcW w:w="2785"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27</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活动部件间的间隙</w:t>
            </w:r>
          </w:p>
        </w:tc>
        <w:tc>
          <w:tcPr>
            <w:tcW w:w="2785"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28</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其他驱动机构</w:t>
            </w:r>
          </w:p>
        </w:tc>
        <w:tc>
          <w:tcPr>
            <w:tcW w:w="2785"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29</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发条钥匙</w:t>
            </w:r>
          </w:p>
        </w:tc>
        <w:tc>
          <w:tcPr>
            <w:tcW w:w="2785"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30</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弹簧</w:t>
            </w:r>
          </w:p>
        </w:tc>
        <w:tc>
          <w:tcPr>
            <w:tcW w:w="2785"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31</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封闭头部的玩具</w:t>
            </w:r>
          </w:p>
        </w:tc>
        <w:tc>
          <w:tcPr>
            <w:tcW w:w="2785" w:type="pct"/>
            <w:noWrap w:val="0"/>
            <w:vAlign w:val="center"/>
          </w:tcPr>
          <w:p>
            <w:pPr>
              <w:pStyle w:val="5"/>
              <w:spacing w:line="300" w:lineRule="exact"/>
              <w:jc w:val="center"/>
              <w:rPr>
                <w:rFonts w:hint="eastAsia"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32</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仿制防护玩具（头盔、帽子、护目镜）</w:t>
            </w:r>
          </w:p>
        </w:tc>
        <w:tc>
          <w:tcPr>
            <w:tcW w:w="2785" w:type="pct"/>
            <w:noWrap w:val="0"/>
            <w:vAlign w:val="center"/>
          </w:tcPr>
          <w:p>
            <w:pPr>
              <w:pStyle w:val="5"/>
              <w:spacing w:line="300" w:lineRule="exact"/>
              <w:jc w:val="center"/>
              <w:rPr>
                <w:rFonts w:hint="eastAsia"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33</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弹射玩具的一般要求</w:t>
            </w:r>
          </w:p>
        </w:tc>
        <w:tc>
          <w:tcPr>
            <w:tcW w:w="2785"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34</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蓄能弹射玩具</w:t>
            </w:r>
          </w:p>
        </w:tc>
        <w:tc>
          <w:tcPr>
            <w:tcW w:w="2785"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35</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非蓄能弹射玩具</w:t>
            </w:r>
          </w:p>
        </w:tc>
        <w:tc>
          <w:tcPr>
            <w:tcW w:w="2785"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36</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水上玩具</w:t>
            </w:r>
          </w:p>
        </w:tc>
        <w:tc>
          <w:tcPr>
            <w:tcW w:w="2785" w:type="pct"/>
            <w:noWrap w:val="0"/>
            <w:vAlign w:val="center"/>
          </w:tcPr>
          <w:p>
            <w:pPr>
              <w:pStyle w:val="5"/>
              <w:spacing w:line="300" w:lineRule="exact"/>
              <w:jc w:val="center"/>
              <w:rPr>
                <w:rFonts w:hint="eastAsia"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37</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液体填充玩具</w:t>
            </w:r>
          </w:p>
        </w:tc>
        <w:tc>
          <w:tcPr>
            <w:tcW w:w="2785" w:type="pct"/>
            <w:noWrap w:val="0"/>
            <w:vAlign w:val="center"/>
          </w:tcPr>
          <w:p>
            <w:pPr>
              <w:pStyle w:val="5"/>
              <w:spacing w:line="300" w:lineRule="exact"/>
              <w:jc w:val="center"/>
              <w:rPr>
                <w:rFonts w:hint="eastAsia"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38</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口动玩具</w:t>
            </w:r>
          </w:p>
        </w:tc>
        <w:tc>
          <w:tcPr>
            <w:tcW w:w="2785"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r>
              <w:rPr>
                <w:rFonts w:ascii="Times New Roman" w:hAnsi="Times New Roman"/>
                <w:bCs/>
                <w:sz w:val="21"/>
                <w:szCs w:val="21"/>
              </w:rPr>
              <w:t>（含第1号修改单）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39</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声响要求</w:t>
            </w:r>
          </w:p>
        </w:tc>
        <w:tc>
          <w:tcPr>
            <w:tcW w:w="2785" w:type="pct"/>
            <w:noWrap w:val="0"/>
            <w:vAlign w:val="center"/>
          </w:tcPr>
          <w:p>
            <w:pPr>
              <w:pStyle w:val="5"/>
              <w:spacing w:line="300" w:lineRule="exact"/>
              <w:jc w:val="center"/>
              <w:rPr>
                <w:rFonts w:hint="eastAsia"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40</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磁体和磁性部件</w:t>
            </w:r>
          </w:p>
        </w:tc>
        <w:tc>
          <w:tcPr>
            <w:tcW w:w="2785" w:type="pct"/>
            <w:noWrap w:val="0"/>
            <w:vAlign w:val="center"/>
          </w:tcPr>
          <w:p>
            <w:pPr>
              <w:pStyle w:val="5"/>
              <w:spacing w:line="300" w:lineRule="exact"/>
              <w:jc w:val="center"/>
              <w:rPr>
                <w:rFonts w:hint="eastAsia"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3"/>
            <w:noWrap w:val="0"/>
            <w:vAlign w:val="center"/>
          </w:tcPr>
          <w:p>
            <w:pPr>
              <w:pStyle w:val="5"/>
              <w:spacing w:line="300" w:lineRule="exact"/>
              <w:jc w:val="left"/>
              <w:rPr>
                <w:rFonts w:ascii="Times New Roman" w:hAnsi="Times New Roman"/>
                <w:bCs/>
                <w:sz w:val="21"/>
                <w:szCs w:val="21"/>
              </w:rPr>
            </w:pPr>
            <w:r>
              <w:rPr>
                <w:rFonts w:hint="eastAsia" w:ascii="Times New Roman" w:hAnsi="Times New Roman"/>
                <w:bCs/>
                <w:sz w:val="21"/>
                <w:szCs w:val="21"/>
              </w:rPr>
              <w:t>二</w:t>
            </w:r>
            <w:r>
              <w:rPr>
                <w:rFonts w:ascii="Times New Roman" w:hAnsi="Times New Roman"/>
                <w:bCs/>
                <w:sz w:val="21"/>
                <w:szCs w:val="21"/>
              </w:rPr>
              <w:t>、易燃性能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1</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一般要求</w:t>
            </w:r>
          </w:p>
        </w:tc>
        <w:tc>
          <w:tcPr>
            <w:tcW w:w="2785" w:type="pct"/>
            <w:noWrap w:val="0"/>
            <w:vAlign w:val="center"/>
          </w:tcPr>
          <w:p>
            <w:pPr>
              <w:pStyle w:val="5"/>
              <w:spacing w:line="300" w:lineRule="exact"/>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2</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头戴玩具</w:t>
            </w:r>
          </w:p>
        </w:tc>
        <w:tc>
          <w:tcPr>
            <w:tcW w:w="2785" w:type="pct"/>
            <w:noWrap w:val="0"/>
            <w:vAlign w:val="center"/>
          </w:tcPr>
          <w:p>
            <w:pPr>
              <w:pStyle w:val="5"/>
              <w:spacing w:line="300" w:lineRule="exact"/>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3</w:t>
            </w:r>
          </w:p>
        </w:tc>
        <w:tc>
          <w:tcPr>
            <w:tcW w:w="1579"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化妆服饰</w:t>
            </w:r>
          </w:p>
        </w:tc>
        <w:tc>
          <w:tcPr>
            <w:tcW w:w="2785" w:type="pct"/>
            <w:noWrap w:val="0"/>
            <w:vAlign w:val="center"/>
          </w:tcPr>
          <w:p>
            <w:pPr>
              <w:pStyle w:val="5"/>
              <w:spacing w:line="300" w:lineRule="exact"/>
              <w:jc w:val="center"/>
              <w:rPr>
                <w:rFonts w:hint="eastAsia" w:ascii="Times New Roman" w:hAnsi="Times New Roman" w:eastAsia="宋体"/>
                <w:bCs/>
                <w:sz w:val="21"/>
                <w:szCs w:val="21"/>
                <w:lang w:eastAsia="zh-CN"/>
              </w:rPr>
            </w:pPr>
            <w:r>
              <w:rPr>
                <w:rFonts w:hint="eastAsia" w:ascii="Times New Roman" w:hAnsi="Times New Roman"/>
                <w:bCs/>
                <w:sz w:val="21"/>
                <w:szCs w:val="21"/>
                <w:lang w:eastAsia="zh-CN"/>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4</w:t>
            </w:r>
          </w:p>
        </w:tc>
        <w:tc>
          <w:tcPr>
            <w:tcW w:w="1579" w:type="pct"/>
            <w:noWrap w:val="0"/>
            <w:vAlign w:val="center"/>
          </w:tcPr>
          <w:p>
            <w:pPr>
              <w:pStyle w:val="5"/>
              <w:spacing w:line="300" w:lineRule="exact"/>
              <w:jc w:val="center"/>
              <w:rPr>
                <w:rFonts w:ascii="Times New Roman" w:hAnsi="Times New Roman" w:eastAsia="宋体" w:cs="Times New Roman"/>
                <w:bCs/>
                <w:kern w:val="0"/>
                <w:sz w:val="21"/>
                <w:szCs w:val="21"/>
                <w:lang w:val="en-US" w:eastAsia="zh-CN" w:bidi="ar-SA"/>
              </w:rPr>
            </w:pPr>
            <w:r>
              <w:rPr>
                <w:rFonts w:ascii="Times New Roman" w:hAnsi="Times New Roman"/>
                <w:bCs/>
                <w:sz w:val="21"/>
                <w:szCs w:val="21"/>
              </w:rPr>
              <w:t>具有毛绒或纺织表面的软体填充玩具（动物和娃娃等）</w:t>
            </w:r>
          </w:p>
        </w:tc>
        <w:tc>
          <w:tcPr>
            <w:tcW w:w="2785" w:type="pct"/>
            <w:noWrap w:val="0"/>
            <w:vAlign w:val="center"/>
          </w:tcPr>
          <w:p>
            <w:pPr>
              <w:pStyle w:val="5"/>
              <w:spacing w:line="300" w:lineRule="exact"/>
              <w:jc w:val="center"/>
              <w:rPr>
                <w:rFonts w:hint="eastAsia" w:ascii="Times New Roman" w:hAnsi="Times New Roman" w:eastAsia="宋体" w:cs="Times New Roman"/>
                <w:bCs/>
                <w:kern w:val="0"/>
                <w:sz w:val="21"/>
                <w:szCs w:val="21"/>
                <w:lang w:val="en-US" w:eastAsia="zh-CN" w:bidi="ar-SA"/>
              </w:rPr>
            </w:pPr>
            <w:r>
              <w:rPr>
                <w:rFonts w:hint="eastAsia" w:ascii="Times New Roman" w:hAnsi="Times New Roman"/>
                <w:bCs/>
                <w:sz w:val="21"/>
                <w:szCs w:val="21"/>
                <w:lang w:eastAsia="zh-CN"/>
              </w:rPr>
              <w:t>GB 6675.3-2014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3"/>
            <w:noWrap w:val="0"/>
            <w:vAlign w:val="center"/>
          </w:tcPr>
          <w:p>
            <w:pPr>
              <w:pStyle w:val="5"/>
              <w:spacing w:line="300" w:lineRule="exact"/>
              <w:jc w:val="left"/>
              <w:rPr>
                <w:rFonts w:ascii="Times New Roman" w:hAnsi="Times New Roman"/>
                <w:bCs/>
                <w:sz w:val="21"/>
                <w:szCs w:val="21"/>
              </w:rPr>
            </w:pPr>
            <w:r>
              <w:rPr>
                <w:rFonts w:hint="eastAsia" w:ascii="Times New Roman" w:hAnsi="Times New Roman"/>
                <w:bCs/>
                <w:sz w:val="21"/>
                <w:szCs w:val="21"/>
              </w:rPr>
              <w:t>三</w:t>
            </w:r>
            <w:r>
              <w:rPr>
                <w:rFonts w:ascii="Times New Roman" w:hAnsi="Times New Roman"/>
                <w:bCs/>
                <w:sz w:val="21"/>
                <w:szCs w:val="21"/>
              </w:rPr>
              <w:t>、特定元素的迁移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1</w:t>
            </w:r>
          </w:p>
        </w:tc>
        <w:tc>
          <w:tcPr>
            <w:tcW w:w="1579" w:type="pct"/>
            <w:noWrap w:val="0"/>
            <w:vAlign w:val="center"/>
          </w:tcPr>
          <w:p>
            <w:pPr>
              <w:spacing w:line="300" w:lineRule="exact"/>
              <w:jc w:val="center"/>
              <w:rPr>
                <w:bCs/>
                <w:kern w:val="0"/>
                <w:szCs w:val="21"/>
              </w:rPr>
            </w:pPr>
            <w:r>
              <w:rPr>
                <w:bCs/>
                <w:kern w:val="0"/>
                <w:szCs w:val="21"/>
              </w:rPr>
              <w:t>最大限量要求</w:t>
            </w:r>
          </w:p>
        </w:tc>
        <w:tc>
          <w:tcPr>
            <w:tcW w:w="278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GB 6675.4</w:t>
            </w:r>
            <w:r>
              <w:rPr>
                <w:rFonts w:hint="eastAsia" w:ascii="Times New Roman" w:hAnsi="Times New Roman"/>
                <w:bCs/>
                <w:sz w:val="21"/>
                <w:szCs w:val="21"/>
                <w:lang w:val="en-US" w:eastAsia="zh-CN"/>
              </w:rPr>
              <w:t>-</w:t>
            </w:r>
            <w:r>
              <w:rPr>
                <w:rFonts w:ascii="Times New Roman" w:hAnsi="Times New Roman"/>
                <w:bCs/>
                <w:sz w:val="21"/>
                <w:szCs w:val="21"/>
              </w:rPr>
              <w:t>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3"/>
            <w:noWrap w:val="0"/>
            <w:vAlign w:val="center"/>
          </w:tcPr>
          <w:p>
            <w:pPr>
              <w:pStyle w:val="5"/>
              <w:spacing w:line="300" w:lineRule="exact"/>
              <w:jc w:val="left"/>
              <w:rPr>
                <w:rFonts w:ascii="Times New Roman" w:hAnsi="Times New Roman"/>
                <w:bCs/>
                <w:sz w:val="21"/>
                <w:szCs w:val="21"/>
              </w:rPr>
            </w:pPr>
            <w:r>
              <w:rPr>
                <w:rFonts w:hint="eastAsia" w:ascii="Times New Roman" w:hAnsi="Times New Roman"/>
                <w:bCs/>
                <w:sz w:val="21"/>
                <w:szCs w:val="21"/>
              </w:rPr>
              <w:t>四</w:t>
            </w:r>
            <w:r>
              <w:rPr>
                <w:rFonts w:ascii="Times New Roman" w:hAnsi="Times New Roman"/>
                <w:bCs/>
                <w:sz w:val="21"/>
                <w:szCs w:val="21"/>
              </w:rPr>
              <w:t>、增塑剂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1</w:t>
            </w:r>
          </w:p>
        </w:tc>
        <w:tc>
          <w:tcPr>
            <w:tcW w:w="1579" w:type="pct"/>
            <w:noWrap w:val="0"/>
            <w:vAlign w:val="center"/>
          </w:tcPr>
          <w:p>
            <w:pPr>
              <w:spacing w:line="300" w:lineRule="exact"/>
              <w:jc w:val="center"/>
              <w:rPr>
                <w:bCs/>
                <w:kern w:val="0"/>
                <w:szCs w:val="21"/>
              </w:rPr>
            </w:pPr>
            <w:r>
              <w:rPr>
                <w:bCs/>
                <w:kern w:val="0"/>
                <w:szCs w:val="21"/>
              </w:rPr>
              <w:t>限定增塑剂限量要求</w:t>
            </w:r>
          </w:p>
        </w:tc>
        <w:tc>
          <w:tcPr>
            <w:tcW w:w="2785" w:type="pct"/>
            <w:noWrap w:val="0"/>
            <w:vAlign w:val="center"/>
          </w:tcPr>
          <w:p>
            <w:pPr>
              <w:pStyle w:val="5"/>
              <w:spacing w:line="300" w:lineRule="exact"/>
              <w:jc w:val="center"/>
              <w:rPr>
                <w:rFonts w:ascii="Times New Roman" w:hAnsi="Times New Roman"/>
                <w:bCs/>
                <w:sz w:val="21"/>
                <w:szCs w:val="21"/>
              </w:rPr>
            </w:pPr>
            <w:r>
              <w:rPr>
                <w:rFonts w:ascii="Times New Roman" w:hAnsi="Times New Roman"/>
                <w:bCs/>
                <w:sz w:val="21"/>
                <w:szCs w:val="21"/>
              </w:rPr>
              <w:t>GB/T 22048</w:t>
            </w:r>
            <w:r>
              <w:rPr>
                <w:rFonts w:hint="eastAsia" w:ascii="Times New Roman" w:hAnsi="Times New Roman"/>
                <w:bCs/>
                <w:sz w:val="21"/>
                <w:szCs w:val="21"/>
                <w:lang w:val="en-US" w:eastAsia="zh-CN"/>
              </w:rPr>
              <w:t>-</w:t>
            </w:r>
            <w:r>
              <w:rPr>
                <w:rFonts w:ascii="Times New Roman" w:hAnsi="Times New Roman"/>
                <w:bCs/>
                <w:sz w:val="21"/>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3"/>
            <w:noWrap w:val="0"/>
            <w:vAlign w:val="center"/>
          </w:tcPr>
          <w:p>
            <w:pPr>
              <w:pStyle w:val="5"/>
              <w:spacing w:line="300" w:lineRule="exact"/>
              <w:jc w:val="left"/>
              <w:rPr>
                <w:rFonts w:ascii="Times New Roman" w:hAnsi="Times New Roman"/>
                <w:bCs/>
                <w:sz w:val="21"/>
                <w:szCs w:val="21"/>
              </w:rPr>
            </w:pPr>
            <w:r>
              <w:rPr>
                <w:rFonts w:hint="eastAsia" w:ascii="Times New Roman" w:hAnsi="Times New Roman"/>
                <w:bCs/>
                <w:sz w:val="21"/>
                <w:szCs w:val="21"/>
                <w:lang w:val="en-US" w:eastAsia="zh-CN"/>
              </w:rPr>
              <w:t>五、</w:t>
            </w:r>
            <w:r>
              <w:rPr>
                <w:rFonts w:hint="eastAsia" w:ascii="Times New Roman" w:hAnsi="Times New Roman"/>
                <w:bCs/>
                <w:sz w:val="21"/>
                <w:szCs w:val="21"/>
              </w:rPr>
              <w:t>玩具标识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35" w:type="pct"/>
            <w:noWrap w:val="0"/>
            <w:vAlign w:val="center"/>
          </w:tcPr>
          <w:p>
            <w:pPr>
              <w:pStyle w:val="5"/>
              <w:spacing w:line="300" w:lineRule="exact"/>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1579" w:type="pct"/>
            <w:noWrap w:val="0"/>
            <w:vAlign w:val="center"/>
          </w:tcPr>
          <w:p>
            <w:pPr>
              <w:spacing w:line="300" w:lineRule="exact"/>
              <w:jc w:val="center"/>
              <w:rPr>
                <w:bCs/>
                <w:kern w:val="0"/>
                <w:szCs w:val="21"/>
              </w:rPr>
            </w:pPr>
            <w:r>
              <w:rPr>
                <w:rFonts w:hint="eastAsia"/>
                <w:bCs/>
                <w:kern w:val="0"/>
                <w:szCs w:val="21"/>
                <w:lang w:val="en-US" w:eastAsia="zh-CN"/>
              </w:rPr>
              <w:t>玩具标识</w:t>
            </w:r>
          </w:p>
        </w:tc>
        <w:tc>
          <w:tcPr>
            <w:tcW w:w="2785" w:type="pct"/>
            <w:noWrap w:val="0"/>
            <w:vAlign w:val="center"/>
          </w:tcPr>
          <w:p>
            <w:pPr>
              <w:pStyle w:val="5"/>
              <w:spacing w:line="300" w:lineRule="exact"/>
              <w:jc w:val="center"/>
              <w:rPr>
                <w:rFonts w:ascii="Times New Roman" w:hAnsi="Times New Roman"/>
                <w:bCs/>
                <w:sz w:val="21"/>
                <w:szCs w:val="21"/>
              </w:rPr>
            </w:pPr>
            <w:r>
              <w:rPr>
                <w:rFonts w:hint="eastAsia" w:ascii="Times New Roman" w:hAnsi="Times New Roman"/>
                <w:bCs/>
                <w:sz w:val="21"/>
                <w:szCs w:val="21"/>
                <w:lang w:val="en-US" w:eastAsia="zh-CN"/>
              </w:rPr>
              <w:t>GB 6675.1-2014</w:t>
            </w:r>
          </w:p>
        </w:tc>
      </w:tr>
    </w:tbl>
    <w:p>
      <w:pPr>
        <w:adjustRightInd w:val="0"/>
        <w:snapToGrid w:val="0"/>
        <w:spacing w:line="440" w:lineRule="exact"/>
        <w:ind w:firstLine="420" w:firstLineChars="200"/>
        <w:rPr>
          <w:color w:val="auto"/>
          <w:szCs w:val="21"/>
        </w:rPr>
      </w:pPr>
      <w:r>
        <w:rPr>
          <w:color w:val="auto"/>
          <w:szCs w:val="21"/>
        </w:rPr>
        <w:t>执行企业标准、团体标准、地方标准的产品，检验项目参照上述内容执行。</w:t>
      </w:r>
    </w:p>
    <w:p>
      <w:pPr>
        <w:pStyle w:val="16"/>
        <w:tabs>
          <w:tab w:val="left" w:pos="438"/>
        </w:tabs>
        <w:autoSpaceDE w:val="0"/>
        <w:autoSpaceDN w:val="0"/>
        <w:spacing w:before="156" w:beforeLines="50" w:after="156" w:afterLines="50" w:line="440" w:lineRule="exact"/>
        <w:ind w:firstLine="0" w:firstLineChars="0"/>
        <w:jc w:val="left"/>
        <w:rPr>
          <w:rFonts w:ascii="黑体" w:hAnsi="黑体" w:eastAsia="黑体" w:cs="黑体"/>
          <w:color w:val="auto"/>
          <w:szCs w:val="24"/>
          <w:lang w:val="zh-CN" w:bidi="zh-CN"/>
        </w:rPr>
      </w:pPr>
      <w:bookmarkStart w:id="1" w:name="_GoBack"/>
      <w:bookmarkEnd w:id="1"/>
      <w:r>
        <w:rPr>
          <w:rFonts w:ascii="黑体" w:hAnsi="黑体" w:eastAsia="黑体" w:cs="黑体"/>
          <w:color w:val="auto"/>
          <w:szCs w:val="24"/>
          <w:lang w:val="zh-CN" w:bidi="zh-CN"/>
        </w:rPr>
        <w:t>3 判定规则</w:t>
      </w:r>
    </w:p>
    <w:p>
      <w:pPr>
        <w:pStyle w:val="18"/>
        <w:rPr>
          <w:color w:val="auto"/>
        </w:rPr>
      </w:pPr>
      <w:r>
        <w:rPr>
          <w:color w:val="auto"/>
        </w:rPr>
        <w:t>3.1依据标准</w:t>
      </w:r>
    </w:p>
    <w:p>
      <w:pPr>
        <w:adjustRightInd w:val="0"/>
        <w:snapToGrid w:val="0"/>
        <w:spacing w:line="440" w:lineRule="exact"/>
        <w:ind w:firstLine="420" w:firstLineChars="200"/>
        <w:rPr>
          <w:szCs w:val="21"/>
        </w:rPr>
      </w:pPr>
      <w:r>
        <w:rPr>
          <w:szCs w:val="21"/>
        </w:rPr>
        <w:t>GB 6675.1</w:t>
      </w:r>
      <w:r>
        <w:rPr>
          <w:rFonts w:hint="eastAsia"/>
          <w:lang w:val="en-US" w:eastAsia="zh-CN"/>
        </w:rPr>
        <w:t>-</w:t>
      </w:r>
      <w:r>
        <w:rPr>
          <w:szCs w:val="21"/>
        </w:rPr>
        <w:t>2014 玩具安全 第1部分：基本规范</w:t>
      </w:r>
    </w:p>
    <w:p>
      <w:pPr>
        <w:adjustRightInd w:val="0"/>
        <w:snapToGrid w:val="0"/>
        <w:spacing w:line="440" w:lineRule="exact"/>
        <w:ind w:firstLine="420" w:firstLineChars="200"/>
        <w:rPr>
          <w:szCs w:val="21"/>
        </w:rPr>
      </w:pPr>
      <w:r>
        <w:rPr>
          <w:szCs w:val="21"/>
        </w:rPr>
        <w:t>GB 6675.2</w:t>
      </w:r>
      <w:r>
        <w:rPr>
          <w:rFonts w:hint="eastAsia"/>
          <w:lang w:val="en-US" w:eastAsia="zh-CN"/>
        </w:rPr>
        <w:t>-</w:t>
      </w:r>
      <w:r>
        <w:rPr>
          <w:szCs w:val="21"/>
        </w:rPr>
        <w:t>2014玩具安全 第2部分：机械与物理性能</w:t>
      </w:r>
      <w:r>
        <w:rPr>
          <w:kern w:val="0"/>
          <w:szCs w:val="21"/>
        </w:rPr>
        <w:t>（含第1号修改单）</w:t>
      </w:r>
    </w:p>
    <w:p>
      <w:pPr>
        <w:adjustRightInd w:val="0"/>
        <w:snapToGrid w:val="0"/>
        <w:spacing w:line="440" w:lineRule="exact"/>
        <w:ind w:firstLine="420" w:firstLineChars="200"/>
        <w:rPr>
          <w:szCs w:val="21"/>
        </w:rPr>
      </w:pPr>
      <w:r>
        <w:rPr>
          <w:szCs w:val="21"/>
        </w:rPr>
        <w:t>GB 6675.3</w:t>
      </w:r>
      <w:r>
        <w:rPr>
          <w:rFonts w:hint="eastAsia"/>
          <w:lang w:val="en-US" w:eastAsia="zh-CN"/>
        </w:rPr>
        <w:t>-</w:t>
      </w:r>
      <w:r>
        <w:rPr>
          <w:szCs w:val="21"/>
        </w:rPr>
        <w:t>2014 玩具安全 第3部分：易燃性能</w:t>
      </w:r>
    </w:p>
    <w:p>
      <w:pPr>
        <w:snapToGrid w:val="0"/>
        <w:spacing w:line="440" w:lineRule="exact"/>
        <w:ind w:firstLine="420" w:firstLineChars="200"/>
        <w:rPr>
          <w:rFonts w:hint="eastAsia" w:ascii="Times New Roman" w:hAnsi="Times New Roman" w:eastAsia="宋体" w:cs="Times New Roman"/>
          <w:color w:val="000000"/>
          <w:lang w:val="en-US" w:eastAsia="zh-CN"/>
        </w:rPr>
      </w:pPr>
      <w:r>
        <w:rPr>
          <w:szCs w:val="21"/>
        </w:rPr>
        <w:t>GB 6675.4</w:t>
      </w:r>
      <w:r>
        <w:rPr>
          <w:rFonts w:hint="eastAsia"/>
          <w:lang w:val="en-US" w:eastAsia="zh-CN"/>
        </w:rPr>
        <w:t>-</w:t>
      </w:r>
      <w:r>
        <w:rPr>
          <w:szCs w:val="21"/>
        </w:rPr>
        <w:t>2014 玩具安全 第4部分：特定元素的迁移</w:t>
      </w:r>
    </w:p>
    <w:p>
      <w:pPr>
        <w:spacing w:line="440" w:lineRule="exact"/>
        <w:ind w:firstLine="420" w:firstLineChars="200"/>
        <w:rPr>
          <w:bCs/>
          <w:strike/>
          <w:color w:val="auto"/>
          <w:szCs w:val="21"/>
        </w:rPr>
      </w:pPr>
      <w:r>
        <w:rPr>
          <w:color w:val="auto"/>
          <w:szCs w:val="21"/>
        </w:rPr>
        <w:t>现行有效的企业标准、团体标准、地方标准及产品明示质量要求</w:t>
      </w:r>
    </w:p>
    <w:p>
      <w:pPr>
        <w:pStyle w:val="18"/>
        <w:rPr>
          <w:color w:val="auto"/>
        </w:rPr>
      </w:pPr>
      <w:r>
        <w:rPr>
          <w:color w:val="auto"/>
        </w:rPr>
        <w:t>3.2判定原则</w:t>
      </w:r>
    </w:p>
    <w:p>
      <w:pPr>
        <w:snapToGrid w:val="0"/>
        <w:spacing w:line="440" w:lineRule="exact"/>
        <w:ind w:firstLine="420" w:firstLineChars="200"/>
        <w:rPr>
          <w:rFonts w:hint="eastAsia" w:ascii="宋体" w:hAnsi="宋体"/>
          <w:color w:val="auto"/>
          <w:szCs w:val="21"/>
        </w:rPr>
      </w:pPr>
      <w:r>
        <w:rPr>
          <w:rFonts w:hint="eastAsia" w:ascii="宋体" w:hAnsi="宋体" w:eastAsia="宋体" w:cs="Times New Roman"/>
          <w:color w:val="auto"/>
          <w:szCs w:val="21"/>
        </w:rPr>
        <w:t>经检验，检验项目全部合格，判定为被抽查产品所检项目未发现不合格；</w:t>
      </w:r>
      <w:r>
        <w:rPr>
          <w:rFonts w:hint="eastAsia" w:ascii="宋体" w:hAnsi="宋体" w:eastAsia="宋体" w:cs="Times New Roman"/>
          <w:color w:val="auto"/>
          <w:szCs w:val="21"/>
          <w:lang w:val="en-US" w:eastAsia="zh-CN"/>
        </w:rPr>
        <w:t>除玩具标识外，</w:t>
      </w:r>
      <w:r>
        <w:rPr>
          <w:rFonts w:hint="eastAsia" w:ascii="宋体" w:hAnsi="宋体" w:eastAsia="宋体" w:cs="Times New Roman"/>
          <w:color w:val="auto"/>
          <w:szCs w:val="21"/>
        </w:rPr>
        <w:t>检验项目中任一项或一项以上不合格，判定为被抽查产品不合格。仅</w:t>
      </w:r>
      <w:r>
        <w:rPr>
          <w:rFonts w:hint="eastAsia" w:ascii="宋体" w:hAnsi="宋体" w:eastAsia="宋体" w:cs="Times New Roman"/>
          <w:color w:val="auto"/>
          <w:szCs w:val="21"/>
          <w:lang w:val="en-US" w:eastAsia="zh-CN"/>
        </w:rPr>
        <w:t>玩具标识</w:t>
      </w:r>
      <w:r>
        <w:rPr>
          <w:rFonts w:hint="eastAsia" w:ascii="宋体" w:hAnsi="宋体" w:eastAsia="宋体" w:cs="Times New Roman"/>
          <w:color w:val="auto"/>
          <w:szCs w:val="21"/>
        </w:rPr>
        <w:t>不</w:t>
      </w:r>
      <w:r>
        <w:rPr>
          <w:rFonts w:hint="eastAsia" w:ascii="宋体" w:hAnsi="宋体" w:eastAsia="宋体" w:cs="Times New Roman"/>
          <w:color w:val="auto"/>
          <w:szCs w:val="21"/>
          <w:lang w:val="en-US" w:eastAsia="zh-CN"/>
        </w:rPr>
        <w:t>合格</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判定为</w:t>
      </w:r>
      <w:r>
        <w:rPr>
          <w:rFonts w:hint="eastAsia" w:ascii="宋体" w:hAnsi="宋体" w:eastAsia="宋体" w:cs="Times New Roman"/>
          <w:color w:val="auto"/>
          <w:szCs w:val="21"/>
          <w:lang w:val="en-US" w:eastAsia="zh-CN"/>
        </w:rPr>
        <w:t>玩具标识</w:t>
      </w:r>
      <w:r>
        <w:rPr>
          <w:rFonts w:hint="eastAsia" w:ascii="宋体" w:hAnsi="宋体" w:eastAsia="宋体" w:cs="Times New Roman"/>
          <w:color w:val="auto"/>
          <w:szCs w:val="21"/>
        </w:rPr>
        <w:t>不符合标准要求，建议进一步规范。</w:t>
      </w:r>
    </w:p>
    <w:p>
      <w:pPr>
        <w:snapToGrid w:val="0"/>
        <w:spacing w:line="440" w:lineRule="exact"/>
        <w:ind w:firstLine="420" w:firstLineChars="200"/>
        <w:rPr>
          <w:rFonts w:ascii="宋体"/>
          <w:color w:val="auto"/>
          <w:szCs w:val="21"/>
        </w:rPr>
      </w:pPr>
      <w:r>
        <w:rPr>
          <w:rFonts w:hint="eastAsia" w:ascii="宋体" w:hAnsi="宋体"/>
          <w:color w:val="auto"/>
          <w:szCs w:val="21"/>
        </w:rPr>
        <w:t>若被检产品明示的质量要求高于本细则中检验项目依据的标准要求时，应按被检产品明示的质量要求判定。</w:t>
      </w:r>
    </w:p>
    <w:p>
      <w:pPr>
        <w:snapToGrid w:val="0"/>
        <w:spacing w:line="440" w:lineRule="exact"/>
        <w:ind w:firstLine="420" w:firstLineChars="200"/>
        <w:rPr>
          <w:rFonts w:ascii="宋体"/>
          <w:color w:val="auto"/>
          <w:szCs w:val="21"/>
        </w:rPr>
      </w:pPr>
      <w:r>
        <w:rPr>
          <w:rFonts w:hint="eastAsia" w:ascii="宋体" w:hAnsi="宋体"/>
          <w:color w:val="auto"/>
          <w:szCs w:val="21"/>
        </w:rPr>
        <w:t>若被检产品明示的质量要求低于本细则中检验项目依据的强制性标准要求时，应按照强制性标准要求判定。</w:t>
      </w:r>
    </w:p>
    <w:p>
      <w:pPr>
        <w:snapToGrid w:val="0"/>
        <w:spacing w:line="440" w:lineRule="exact"/>
        <w:ind w:firstLine="420" w:firstLineChars="200"/>
        <w:rPr>
          <w:rFonts w:ascii="宋体"/>
          <w:color w:val="auto"/>
          <w:szCs w:val="21"/>
        </w:rPr>
      </w:pPr>
      <w:r>
        <w:rPr>
          <w:rFonts w:hint="eastAsia" w:ascii="宋体" w:hAnsi="宋体"/>
          <w:color w:val="auto"/>
          <w:szCs w:val="21"/>
        </w:rPr>
        <w:t>若被检产品明示的质量要求低于或包含本细则中检验项目依据的推荐性标准要求时，应以被检产品明示的质量要求判定。</w:t>
      </w:r>
    </w:p>
    <w:p>
      <w:pPr>
        <w:snapToGrid w:val="0"/>
        <w:spacing w:line="440" w:lineRule="exact"/>
        <w:ind w:firstLine="420" w:firstLineChars="200"/>
        <w:rPr>
          <w:rFonts w:ascii="宋体"/>
          <w:color w:val="auto"/>
          <w:szCs w:val="21"/>
        </w:rPr>
      </w:pPr>
      <w:r>
        <w:rPr>
          <w:rFonts w:hint="eastAsia" w:ascii="宋体" w:hAnsi="宋体"/>
          <w:color w:val="auto"/>
          <w:szCs w:val="21"/>
        </w:rPr>
        <w:t>若被检产品明示的质量要求缺少本细则中检验项目依据的强制性标准要求时，应按照强制性标准要求判定。</w:t>
      </w:r>
    </w:p>
    <w:p>
      <w:pPr>
        <w:snapToGrid w:val="0"/>
        <w:spacing w:line="240" w:lineRule="auto"/>
        <w:ind w:firstLine="420" w:firstLineChars="200"/>
        <w:rPr>
          <w:rFonts w:ascii="宋体" w:cs="宋体"/>
          <w:color w:val="auto"/>
          <w:kern w:val="0"/>
          <w:szCs w:val="21"/>
        </w:rPr>
      </w:pPr>
      <w:r>
        <w:rPr>
          <w:rFonts w:hint="eastAsia" w:ascii="宋体" w:hAnsi="宋体"/>
          <w:color w:val="auto"/>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en-US"/>
      </w:rPr>
      <w:t>1</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ODRiYmU4NDFiZWIwZjAzZmQ4ZjdiODBmODk1NmEifQ=="/>
  </w:docVars>
  <w:rsids>
    <w:rsidRoot w:val="00B4742C"/>
    <w:rsid w:val="00024CC3"/>
    <w:rsid w:val="000658AA"/>
    <w:rsid w:val="00066F91"/>
    <w:rsid w:val="00073DD7"/>
    <w:rsid w:val="000B1EB1"/>
    <w:rsid w:val="000F3245"/>
    <w:rsid w:val="00110537"/>
    <w:rsid w:val="00146928"/>
    <w:rsid w:val="001525ED"/>
    <w:rsid w:val="001A378B"/>
    <w:rsid w:val="001C4DD7"/>
    <w:rsid w:val="001D6315"/>
    <w:rsid w:val="002A0CD5"/>
    <w:rsid w:val="002A6289"/>
    <w:rsid w:val="002E165D"/>
    <w:rsid w:val="003116A5"/>
    <w:rsid w:val="0031563A"/>
    <w:rsid w:val="00335A02"/>
    <w:rsid w:val="003416E6"/>
    <w:rsid w:val="003519D7"/>
    <w:rsid w:val="00383C2A"/>
    <w:rsid w:val="003B0CD8"/>
    <w:rsid w:val="003C0A55"/>
    <w:rsid w:val="003C58A5"/>
    <w:rsid w:val="003E24F8"/>
    <w:rsid w:val="003F2646"/>
    <w:rsid w:val="00462F0D"/>
    <w:rsid w:val="00491D5A"/>
    <w:rsid w:val="004B4FF5"/>
    <w:rsid w:val="004C3B18"/>
    <w:rsid w:val="004C72C5"/>
    <w:rsid w:val="004C73C3"/>
    <w:rsid w:val="004D31EE"/>
    <w:rsid w:val="00536FC4"/>
    <w:rsid w:val="005C0B9D"/>
    <w:rsid w:val="005D5A8C"/>
    <w:rsid w:val="0061185A"/>
    <w:rsid w:val="00641194"/>
    <w:rsid w:val="00664070"/>
    <w:rsid w:val="006D226F"/>
    <w:rsid w:val="006D3C73"/>
    <w:rsid w:val="0070079E"/>
    <w:rsid w:val="00761E48"/>
    <w:rsid w:val="00784764"/>
    <w:rsid w:val="00794DED"/>
    <w:rsid w:val="007B5A34"/>
    <w:rsid w:val="007B66FE"/>
    <w:rsid w:val="007C3C13"/>
    <w:rsid w:val="008051AA"/>
    <w:rsid w:val="00857C0E"/>
    <w:rsid w:val="008B2D53"/>
    <w:rsid w:val="008F6FFF"/>
    <w:rsid w:val="0090340F"/>
    <w:rsid w:val="00920FC2"/>
    <w:rsid w:val="00925875"/>
    <w:rsid w:val="0093233A"/>
    <w:rsid w:val="009E2EEC"/>
    <w:rsid w:val="00AB37F2"/>
    <w:rsid w:val="00AB38F1"/>
    <w:rsid w:val="00B4742C"/>
    <w:rsid w:val="00BA4C3D"/>
    <w:rsid w:val="00BC364A"/>
    <w:rsid w:val="00C2597E"/>
    <w:rsid w:val="00C50BB6"/>
    <w:rsid w:val="00C96F14"/>
    <w:rsid w:val="00CA1052"/>
    <w:rsid w:val="00CA2402"/>
    <w:rsid w:val="00D03B6E"/>
    <w:rsid w:val="00D14605"/>
    <w:rsid w:val="00D27DFF"/>
    <w:rsid w:val="00D66105"/>
    <w:rsid w:val="00D86E21"/>
    <w:rsid w:val="00DA208C"/>
    <w:rsid w:val="00DB1312"/>
    <w:rsid w:val="00DB40DD"/>
    <w:rsid w:val="00DE0C87"/>
    <w:rsid w:val="00DE0D14"/>
    <w:rsid w:val="00DF16EE"/>
    <w:rsid w:val="00E023C9"/>
    <w:rsid w:val="00E12338"/>
    <w:rsid w:val="00E16EF9"/>
    <w:rsid w:val="00E85545"/>
    <w:rsid w:val="00EA2566"/>
    <w:rsid w:val="00EA71AE"/>
    <w:rsid w:val="00EE479F"/>
    <w:rsid w:val="00F01B54"/>
    <w:rsid w:val="00F05A01"/>
    <w:rsid w:val="00F1530A"/>
    <w:rsid w:val="00F54155"/>
    <w:rsid w:val="00F92AB0"/>
    <w:rsid w:val="00FB1BD0"/>
    <w:rsid w:val="00FD4E25"/>
    <w:rsid w:val="0A781DD8"/>
    <w:rsid w:val="0AB5167F"/>
    <w:rsid w:val="139F6FB4"/>
    <w:rsid w:val="13A617CC"/>
    <w:rsid w:val="17144869"/>
    <w:rsid w:val="17261FFA"/>
    <w:rsid w:val="24444E60"/>
    <w:rsid w:val="24BF7592"/>
    <w:rsid w:val="2AF06156"/>
    <w:rsid w:val="2BA671F3"/>
    <w:rsid w:val="2FEC17E4"/>
    <w:rsid w:val="354B57C0"/>
    <w:rsid w:val="377C5F48"/>
    <w:rsid w:val="37FFA6F2"/>
    <w:rsid w:val="38D1695D"/>
    <w:rsid w:val="3C3A3734"/>
    <w:rsid w:val="43866AFE"/>
    <w:rsid w:val="49F67435"/>
    <w:rsid w:val="4B5832DF"/>
    <w:rsid w:val="50C0526A"/>
    <w:rsid w:val="522272BA"/>
    <w:rsid w:val="52A41CCF"/>
    <w:rsid w:val="54BC073D"/>
    <w:rsid w:val="59041E30"/>
    <w:rsid w:val="5B76EE84"/>
    <w:rsid w:val="5D4667C2"/>
    <w:rsid w:val="5DE05904"/>
    <w:rsid w:val="600A5D69"/>
    <w:rsid w:val="609D7914"/>
    <w:rsid w:val="62960302"/>
    <w:rsid w:val="647F13D0"/>
    <w:rsid w:val="675B326D"/>
    <w:rsid w:val="7A6D64F5"/>
    <w:rsid w:val="7FAA26FE"/>
    <w:rsid w:val="DFEC3BD5"/>
    <w:rsid w:val="F57FC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autoSpaceDE w:val="0"/>
      <w:autoSpaceDN w:val="0"/>
      <w:adjustRightInd w:val="0"/>
      <w:spacing w:line="360" w:lineRule="auto"/>
      <w:jc w:val="center"/>
      <w:outlineLvl w:val="0"/>
    </w:pPr>
    <w:rPr>
      <w:rFonts w:eastAsia="隶书"/>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00" w:firstLineChars="200"/>
    </w:pPr>
    <w:rPr>
      <w:rFonts w:ascii="Times New Roman" w:hAnsi="Times New Roman" w:eastAsia="仿宋_GB2312"/>
      <w:sz w:val="30"/>
      <w:szCs w:val="24"/>
    </w:rPr>
  </w:style>
  <w:style w:type="paragraph" w:styleId="4">
    <w:name w:val="annotation text"/>
    <w:basedOn w:val="1"/>
    <w:semiHidden/>
    <w:unhideWhenUsed/>
    <w:qFormat/>
    <w:uiPriority w:val="99"/>
    <w:pPr>
      <w:jc w:val="left"/>
    </w:pPr>
  </w:style>
  <w:style w:type="paragraph" w:styleId="5">
    <w:name w:val="Plain Text"/>
    <w:basedOn w:val="1"/>
    <w:qFormat/>
    <w:uiPriority w:val="99"/>
    <w:rPr>
      <w:rFonts w:ascii="宋体" w:hAnsi="Courier New"/>
      <w:kern w:val="0"/>
      <w:sz w:val="20"/>
      <w:szCs w:val="20"/>
    </w:rPr>
  </w:style>
  <w:style w:type="paragraph" w:styleId="6">
    <w:name w:val="footer"/>
    <w:basedOn w:val="1"/>
    <w:link w:val="13"/>
    <w:unhideWhenUsed/>
    <w:qFormat/>
    <w:uiPriority w:val="99"/>
    <w:pPr>
      <w:tabs>
        <w:tab w:val="center" w:pos="4153"/>
        <w:tab w:val="right" w:pos="8306"/>
      </w:tabs>
      <w:snapToGrid w:val="0"/>
      <w:jc w:val="left"/>
    </w:pPr>
    <w:rPr>
      <w:sz w:val="18"/>
      <w:szCs w:val="18"/>
      <w:lang w:val="zh-CN"/>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8">
    <w:name w:val="Normal (Web)"/>
    <w:basedOn w:val="1"/>
    <w:unhideWhenUsed/>
    <w:qFormat/>
    <w:uiPriority w:val="0"/>
    <w:pPr>
      <w:spacing w:before="100" w:beforeAutospacing="1" w:after="100" w:afterAutospacing="1"/>
      <w:jc w:val="left"/>
    </w:pPr>
    <w:rPr>
      <w:rFonts w:ascii="Calibri" w:hAnsi="Calibri"/>
      <w:kern w:val="0"/>
      <w:sz w:val="24"/>
      <w:szCs w:val="22"/>
    </w:rPr>
  </w:style>
  <w:style w:type="character" w:styleId="11">
    <w:name w:val="page number"/>
    <w:qFormat/>
    <w:uiPriority w:val="0"/>
  </w:style>
  <w:style w:type="character" w:customStyle="1" w:styleId="12">
    <w:name w:val="页脚 字符"/>
    <w:basedOn w:val="10"/>
    <w:semiHidden/>
    <w:qFormat/>
    <w:uiPriority w:val="99"/>
    <w:rPr>
      <w:rFonts w:ascii="Times New Roman" w:hAnsi="Times New Roman" w:eastAsia="宋体" w:cs="Times New Roman"/>
      <w:sz w:val="18"/>
      <w:szCs w:val="18"/>
    </w:rPr>
  </w:style>
  <w:style w:type="character" w:customStyle="1" w:styleId="13">
    <w:name w:val="页脚 字符1"/>
    <w:link w:val="6"/>
    <w:qFormat/>
    <w:uiPriority w:val="99"/>
    <w:rPr>
      <w:rFonts w:ascii="Times New Roman" w:hAnsi="Times New Roman" w:eastAsia="宋体" w:cs="Times New Roman"/>
      <w:sz w:val="18"/>
      <w:szCs w:val="18"/>
      <w:lang w:val="zh-CN" w:eastAsia="zh-CN"/>
    </w:rPr>
  </w:style>
  <w:style w:type="character" w:customStyle="1" w:styleId="14">
    <w:name w:val="页眉 字符"/>
    <w:basedOn w:val="10"/>
    <w:semiHidden/>
    <w:qFormat/>
    <w:uiPriority w:val="99"/>
    <w:rPr>
      <w:rFonts w:ascii="Times New Roman" w:hAnsi="Times New Roman" w:eastAsia="宋体" w:cs="Times New Roman"/>
      <w:sz w:val="18"/>
      <w:szCs w:val="18"/>
    </w:rPr>
  </w:style>
  <w:style w:type="character" w:customStyle="1" w:styleId="15">
    <w:name w:val="页眉 字符1"/>
    <w:link w:val="7"/>
    <w:qFormat/>
    <w:uiPriority w:val="99"/>
    <w:rPr>
      <w:rFonts w:ascii="Times New Roman" w:hAnsi="Times New Roman" w:eastAsia="宋体" w:cs="Times New Roman"/>
      <w:sz w:val="18"/>
      <w:szCs w:val="18"/>
      <w:lang w:val="zh-CN" w:eastAsia="zh-CN"/>
    </w:rPr>
  </w:style>
  <w:style w:type="paragraph" w:styleId="16">
    <w:name w:val="List Paragraph"/>
    <w:basedOn w:val="1"/>
    <w:qFormat/>
    <w:uiPriority w:val="1"/>
    <w:pPr>
      <w:ind w:firstLine="420" w:firstLineChars="200"/>
    </w:pPr>
    <w:rPr>
      <w:rFonts w:ascii="等线" w:hAnsi="等线" w:eastAsia="等线"/>
      <w:szCs w:val="22"/>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
    <w:name w:val="三级标题"/>
    <w:basedOn w:val="1"/>
    <w:link w:val="19"/>
    <w:qFormat/>
    <w:uiPriority w:val="0"/>
    <w:pPr>
      <w:snapToGrid w:val="0"/>
      <w:spacing w:line="440" w:lineRule="exact"/>
    </w:pPr>
    <w:rPr>
      <w:rFonts w:ascii="楷体_GB2312" w:hAnsi="楷体_GB2312" w:eastAsia="楷体_GB2312" w:cs="楷体_GB2312"/>
      <w:color w:val="000000"/>
      <w:szCs w:val="21"/>
    </w:rPr>
  </w:style>
  <w:style w:type="character" w:customStyle="1" w:styleId="19">
    <w:name w:val="三级标题 Char"/>
    <w:basedOn w:val="10"/>
    <w:link w:val="18"/>
    <w:qFormat/>
    <w:uiPriority w:val="0"/>
    <w:rPr>
      <w:rFonts w:ascii="楷体_GB2312" w:hAnsi="楷体_GB2312" w:eastAsia="楷体_GB2312" w:cs="楷体_GB2312"/>
      <w:color w:val="000000"/>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835</Words>
  <Characters>1010</Characters>
  <Lines>9</Lines>
  <Paragraphs>2</Paragraphs>
  <TotalTime>5</TotalTime>
  <ScaleCrop>false</ScaleCrop>
  <LinksUpToDate>false</LinksUpToDate>
  <CharactersWithSpaces>1033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2022-05-13T14:42:00Z</dcterms:created>
  <dc:creator>Admin</dc:creator>
  <cp:lastModifiedBy>王瑞琳</cp:lastModifiedBy>
  <dcterms:modified xsi:type="dcterms:W3CDTF">2025-09-15T06:13:02Z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9E3D7B394AE7444BA05A0B5ABB6E21DC</vt:lpwstr>
  </property>
  <property fmtid="{D5CDD505-2E9C-101B-9397-08002B2CF9AE}" pid="4" name="KSOTemplateDocerSaveRecord">
    <vt:lpwstr>eyJoZGlkIjoiZTJkMjU2MWFkMjI5NDNhMjM1NmQ0OWRlMWI3ZTEwZTAiLCJ1c2VySWQiOiIxNDM1MDQxMzc0In0=</vt:lpwstr>
  </property>
</Properties>
</file>