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C50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1410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山西省临汾市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1410</w:t>
      </w:r>
      <w:r>
        <w:rPr>
          <w:rFonts w:hint="eastAsia"/>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024</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3+I8zYAAAADAEA&#10;AA8AAAAAAAAAAQAgAAAAOAAAAGRycy9kb3ducmV2LnhtbFBLAQIUABQAAAAIAIdO4kAT78kkywEA&#10;AGEDAAAOAAAAAAAAAAEAIAAAAD0BAABkcnMvZTJvRG9jLnhtbFBLBQYAAAAABgAGAFkBAAB6BQAA&#10;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校园食堂后厨管理规范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 xml:space="preserve"> </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临汾市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1"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DEEB41yQEAAF8D&#10;AAAOAAAAAAAAAAEAIAAAADwBAABkcnMvZTJvRG9jLnhtbFBLBQYAAAAABgAGAFkBAAB3BQAAAAA=&#10;">
                <v:fill on="f" focussize="0,0"/>
                <v:stroke color="#000000" joinstyle="round"/>
                <v:imagedata o:title=""/>
                <o:lock v:ext="edit" aspectratio="f"/>
                <w10:anchorlock/>
              </v:line>
            </w:pict>
          </mc:Fallback>
        </mc:AlternateContent>
      </w:r>
    </w:p>
    <w:p>
      <w:pPr>
        <w:pStyle w:val="91"/>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"_Toc169626181" </w:instrText>
      </w:r>
      <w:r>
        <w:fldChar w:fldCharType="separate"/>
      </w:r>
      <w:r>
        <w:rPr>
          <w:rStyle w:val="32"/>
        </w:rPr>
        <w:t>1  范围</w:t>
      </w:r>
      <w:r>
        <w:tab/>
      </w:r>
      <w:r>
        <w:fldChar w:fldCharType="begin"/>
      </w:r>
      <w:r>
        <w:instrText xml:space="preserve"> PAGEREF _Toc169626181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"_Toc169626182" </w:instrText>
      </w:r>
      <w:r>
        <w:fldChar w:fldCharType="separate"/>
      </w:r>
      <w:r>
        <w:rPr>
          <w:rStyle w:val="32"/>
        </w:rPr>
        <w:t>2  规范性引用文件</w:t>
      </w:r>
      <w:r>
        <w:tab/>
      </w:r>
      <w:r>
        <w:fldChar w:fldCharType="begin"/>
      </w:r>
      <w:r>
        <w:instrText xml:space="preserve"> PAGEREF _Toc169626182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"_Toc169626183" </w:instrText>
      </w:r>
      <w:r>
        <w:fldChar w:fldCharType="separate"/>
      </w:r>
      <w:r>
        <w:rPr>
          <w:rStyle w:val="32"/>
        </w:rPr>
        <w:t>3  术语和定义</w:t>
      </w:r>
      <w:r>
        <w:tab/>
      </w:r>
      <w:r>
        <w:fldChar w:fldCharType="begin"/>
      </w:r>
      <w:r>
        <w:instrText xml:space="preserve"> PAGEREF _Toc169626183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"_Toc169626184" </w:instrText>
      </w:r>
      <w:r>
        <w:fldChar w:fldCharType="separate"/>
      </w:r>
      <w:r>
        <w:rPr>
          <w:rStyle w:val="32"/>
        </w:rPr>
        <w:t xml:space="preserve">4 </w:t>
      </w:r>
      <w:r>
        <w:rPr>
          <w:rStyle w:val="32"/>
          <w:shd w:val="clear" w:color="auto" w:fill="FFFFFF"/>
        </w:rPr>
        <w:t xml:space="preserve"> 总体要求</w:t>
      </w:r>
      <w:r>
        <w:tab/>
      </w:r>
      <w:r>
        <w:fldChar w:fldCharType="begin"/>
      </w:r>
      <w:r>
        <w:instrText xml:space="preserve"> PAGEREF _Toc169626184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"_Toc169626185" </w:instrText>
      </w:r>
      <w:r>
        <w:fldChar w:fldCharType="separate"/>
      </w:r>
      <w:r>
        <w:rPr>
          <w:rStyle w:val="32"/>
        </w:rPr>
        <w:t>5  从业人员</w:t>
      </w:r>
      <w:r>
        <w:tab/>
      </w:r>
      <w:r>
        <w:fldChar w:fldCharType="begin"/>
      </w:r>
      <w:r>
        <w:instrText xml:space="preserve"> PAGEREF _Toc169626185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"_Toc169626186" </w:instrText>
      </w:r>
      <w:r>
        <w:fldChar w:fldCharType="separate"/>
      </w:r>
      <w:r>
        <w:rPr>
          <w:rStyle w:val="32"/>
        </w:rPr>
        <w:t>6  更衣间</w:t>
      </w:r>
      <w:r>
        <w:tab/>
      </w:r>
      <w:r>
        <w:fldChar w:fldCharType="begin"/>
      </w:r>
      <w:r>
        <w:instrText xml:space="preserve"> PAGEREF _Toc169626186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"_Toc169626187" </w:instrText>
      </w:r>
      <w:r>
        <w:fldChar w:fldCharType="separate"/>
      </w:r>
      <w:r>
        <w:rPr>
          <w:rStyle w:val="32"/>
        </w:rPr>
        <w:t>7  食品容器、设备及工具</w:t>
      </w:r>
      <w:r>
        <w:tab/>
      </w:r>
      <w:r>
        <w:fldChar w:fldCharType="begin"/>
      </w:r>
      <w:r>
        <w:instrText xml:space="preserve"> PAGEREF _Toc169626187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"_Toc169626188" </w:instrText>
      </w:r>
      <w:r>
        <w:fldChar w:fldCharType="separate"/>
      </w:r>
      <w:r>
        <w:rPr>
          <w:rStyle w:val="32"/>
        </w:rPr>
        <w:t>8  冰箱</w:t>
      </w:r>
      <w:r>
        <w:tab/>
      </w:r>
      <w:r>
        <w:fldChar w:fldCharType="begin"/>
      </w:r>
      <w:r>
        <w:instrText xml:space="preserve"> PAGEREF _Toc169626188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"_Toc169626189" </w:instrText>
      </w:r>
      <w:r>
        <w:fldChar w:fldCharType="separate"/>
      </w:r>
      <w:r>
        <w:rPr>
          <w:rStyle w:val="32"/>
        </w:rPr>
        <w:t>9  周转小仓库</w:t>
      </w:r>
      <w:r>
        <w:tab/>
      </w:r>
      <w:r>
        <w:fldChar w:fldCharType="begin"/>
      </w:r>
      <w:r>
        <w:instrText xml:space="preserve"> PAGEREF _Toc169626189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"_Toc169626190" </w:instrText>
      </w:r>
      <w:r>
        <w:fldChar w:fldCharType="separate"/>
      </w:r>
      <w:r>
        <w:rPr>
          <w:rStyle w:val="32"/>
        </w:rPr>
        <w:t>10  粗加工制作</w:t>
      </w:r>
      <w:r>
        <w:tab/>
      </w:r>
      <w:r>
        <w:fldChar w:fldCharType="begin"/>
      </w:r>
      <w:r>
        <w:instrText xml:space="preserve"> PAGEREF _Toc169626190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"_Toc169626191" </w:instrText>
      </w:r>
      <w:r>
        <w:fldChar w:fldCharType="separate"/>
      </w:r>
      <w:r>
        <w:rPr>
          <w:rStyle w:val="32"/>
        </w:rPr>
        <w:t>11  餐用具清洗消毒</w:t>
      </w:r>
      <w:r>
        <w:tab/>
      </w:r>
      <w:r>
        <w:fldChar w:fldCharType="begin"/>
      </w:r>
      <w:r>
        <w:instrText xml:space="preserve"> PAGEREF _Toc169626191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"_Toc169626192" </w:instrText>
      </w:r>
      <w:r>
        <w:fldChar w:fldCharType="separate"/>
      </w:r>
      <w:r>
        <w:rPr>
          <w:rStyle w:val="32"/>
        </w:rPr>
        <w:t>12  安全管理</w:t>
      </w:r>
      <w:r>
        <w:tab/>
      </w:r>
      <w:r>
        <w:fldChar w:fldCharType="begin"/>
      </w:r>
      <w:r>
        <w:instrText xml:space="preserve"> PAGEREF _Toc169626192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"_Toc169626193" </w:instrText>
      </w:r>
      <w:r>
        <w:fldChar w:fldCharType="separate"/>
      </w:r>
      <w:r>
        <w:rPr>
          <w:rStyle w:val="32"/>
        </w:rPr>
        <w:t>13  食品安全卫生</w:t>
      </w:r>
      <w:r>
        <w:tab/>
      </w:r>
      <w:r>
        <w:fldChar w:fldCharType="begin"/>
      </w:r>
      <w:r>
        <w:instrText xml:space="preserve"> PAGEREF _Toc169626193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"_Toc169626194" </w:instrText>
      </w:r>
      <w:r>
        <w:fldChar w:fldCharType="separate"/>
      </w:r>
      <w:r>
        <w:rPr>
          <w:rStyle w:val="32"/>
        </w:rPr>
        <w:t>14  记录</w:t>
      </w:r>
      <w:r>
        <w:tab/>
      </w:r>
      <w:r>
        <w:fldChar w:fldCharType="begin"/>
      </w:r>
      <w:r>
        <w:instrText xml:space="preserve"> PAGEREF _Toc169626194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1830" w:right="1134" w:bottom="1134" w:left="1134" w:header="1418" w:footer="1134" w:gutter="284"/>
          <w:pgNumType w:fmt="upperRoman" w:start="1"/>
          <w:cols w:space="425" w:num="1"/>
          <w:formProt w:val="0"/>
          <w:docGrid w:type="lines" w:linePitch="312" w:charSpace="0"/>
        </w:sectPr>
      </w:pPr>
      <w:r>
        <w:fldChar w:fldCharType="end"/>
      </w: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前    言</w:t>
      </w:r>
    </w:p>
    <w:p>
      <w:pPr>
        <w:spacing w:line="360" w:lineRule="auto"/>
        <w:jc w:val="center"/>
        <w:rPr>
          <w:rFonts w:ascii="黑体" w:hAnsi="黑体" w:eastAsia="黑体"/>
          <w:sz w:val="32"/>
          <w:szCs w:val="32"/>
        </w:rPr>
      </w:pPr>
    </w:p>
    <w:p>
      <w:pPr>
        <w:spacing w:line="360" w:lineRule="auto"/>
        <w:ind w:firstLine="420" w:firstLineChars="200"/>
        <w:jc w:val="left"/>
        <w:rPr>
          <w:kern w:val="0"/>
        </w:rPr>
      </w:pPr>
      <w:r>
        <w:rPr>
          <w:rFonts w:hint="eastAsia"/>
          <w:kern w:val="0"/>
        </w:rPr>
        <w:t>本文件按照GB/T 1.1-2020《标准化工作导则  第1部分：标准化文件的结构和起草规则》的规定起草。</w:t>
      </w:r>
    </w:p>
    <w:p>
      <w:pPr>
        <w:spacing w:line="360" w:lineRule="auto"/>
        <w:ind w:firstLine="420" w:firstLineChars="200"/>
        <w:jc w:val="left"/>
        <w:rPr>
          <w:kern w:val="0"/>
        </w:rPr>
      </w:pPr>
      <w:r>
        <w:rPr>
          <w:rFonts w:hint="eastAsia"/>
          <w:kern w:val="0"/>
        </w:rPr>
        <w:t>本文件由临汾市市场监督管理局提出、组织实施和监督实施。</w:t>
      </w:r>
    </w:p>
    <w:p>
      <w:pPr>
        <w:spacing w:line="360" w:lineRule="auto"/>
        <w:ind w:firstLine="420" w:firstLineChars="200"/>
        <w:jc w:val="left"/>
        <w:rPr>
          <w:kern w:val="0"/>
        </w:rPr>
      </w:pPr>
      <w:r>
        <w:rPr>
          <w:rFonts w:hint="eastAsia"/>
          <w:kern w:val="0"/>
        </w:rPr>
        <w:t>临汾市市场监督管理局对标准的组织实施情况进行监督检查。</w:t>
      </w:r>
    </w:p>
    <w:p>
      <w:pPr>
        <w:spacing w:line="360" w:lineRule="auto"/>
        <w:ind w:firstLine="420" w:firstLineChars="200"/>
        <w:jc w:val="left"/>
        <w:rPr>
          <w:kern w:val="0"/>
        </w:rPr>
      </w:pPr>
      <w:r>
        <w:rPr>
          <w:rFonts w:hint="eastAsia"/>
          <w:kern w:val="0"/>
        </w:rPr>
        <w:t>本文件由临汾市餐饮服务标准化专家组归口。</w:t>
      </w:r>
    </w:p>
    <w:p>
      <w:pPr>
        <w:spacing w:line="360" w:lineRule="auto"/>
        <w:ind w:firstLine="420" w:firstLineChars="200"/>
        <w:jc w:val="left"/>
        <w:rPr>
          <w:kern w:val="0"/>
        </w:rPr>
      </w:pPr>
      <w:r>
        <w:rPr>
          <w:rFonts w:hint="eastAsia"/>
          <w:kern w:val="0"/>
        </w:rPr>
        <w:t>本文件起草单位：侯马市馨怡餐饮管理有限公司、临汾市综合检验检测中心、侯马市市场监督管理局。</w:t>
      </w:r>
    </w:p>
    <w:p>
      <w:pPr>
        <w:spacing w:line="360" w:lineRule="auto"/>
        <w:ind w:firstLine="420" w:firstLineChars="200"/>
        <w:jc w:val="left"/>
        <w:rPr>
          <w:kern w:val="0"/>
        </w:rPr>
      </w:pPr>
      <w:r>
        <w:rPr>
          <w:rFonts w:hint="eastAsia"/>
          <w:kern w:val="0"/>
        </w:rPr>
        <w:t>本文件主要起草人：关文香、王海丽、李先锋。</w:t>
      </w:r>
    </w:p>
    <w:p>
      <w:pPr>
        <w:spacing w:line="360" w:lineRule="auto"/>
        <w:ind w:firstLine="420" w:firstLineChars="200"/>
        <w:jc w:val="left"/>
        <w:rPr>
          <w:kern w:val="0"/>
        </w:rPr>
      </w:pPr>
      <w:r>
        <w:rPr>
          <w:rFonts w:hint="eastAsia"/>
          <w:kern w:val="0"/>
        </w:rPr>
        <w:t>本文件发布实施后，任何单位和个人如有问题和意见建议，均可以通过来电和来函等方式进行反馈，我们将及时答复并认真处理，根据实际情况依法进行评估及复审。</w:t>
      </w:r>
    </w:p>
    <w:p>
      <w:pPr>
        <w:spacing w:line="360" w:lineRule="auto"/>
        <w:ind w:firstLine="420" w:firstLineChars="200"/>
        <w:jc w:val="left"/>
        <w:rPr>
          <w:kern w:val="0"/>
        </w:rPr>
      </w:pPr>
      <w:r>
        <w:rPr>
          <w:rFonts w:hint="eastAsia"/>
          <w:kern w:val="0"/>
        </w:rPr>
        <w:t>提出和监督实施部门通讯地址：临汾市尧都区滨河街道西大街   联系电话：0357-2029041</w:t>
      </w:r>
    </w:p>
    <w:p>
      <w:pPr>
        <w:spacing w:line="360" w:lineRule="auto"/>
        <w:ind w:firstLine="420" w:firstLineChars="200"/>
        <w:jc w:val="left"/>
        <w:rPr>
          <w:kern w:val="0"/>
        </w:rPr>
      </w:pPr>
      <w:r>
        <w:rPr>
          <w:rFonts w:hint="eastAsia"/>
          <w:kern w:val="0"/>
        </w:rPr>
        <w:t>技术归口单位通讯地址：临汾市尧都区滨河街道西大街         联系电话：0357-2212298</w:t>
      </w: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sdt>
      <w:sdtPr>
        <w:tag w:val="NEW_STAND_NAME"/>
        <w:id w:val="595910757"/>
        <w:lock w:val="sdtLocked"/>
        <w:placeholder>
          <w:docPart w:val="2213A39F67D3409AB867FD2E9948C828"/>
        </w:placeholder>
      </w:sdtPr>
      <w:sdtContent>
        <w:p>
          <w:pPr>
            <w:pStyle w:val="177"/>
            <w:spacing w:before="312" w:beforeLines="100" w:after="686" w:afterLines="220"/>
          </w:pPr>
          <w:bookmarkStart w:id="23" w:name="NEW_STAND_NAME"/>
          <w:r>
            <w:rPr>
              <w:rFonts w:hint="eastAsia"/>
            </w:rPr>
            <w:t>校园食堂后厨管理规范</w:t>
          </w:r>
        </w:p>
      </w:sdtContent>
    </w:sdt>
    <w:bookmarkEnd w:id="23"/>
    <w:p>
      <w:pPr>
        <w:pStyle w:val="104"/>
        <w:spacing w:before="312" w:after="312"/>
        <w:rPr>
          <w:sz w:val="24"/>
          <w:szCs w:val="24"/>
        </w:rPr>
      </w:pPr>
      <w:bookmarkStart w:id="24" w:name="_Toc163029990"/>
      <w:bookmarkStart w:id="25" w:name="_Toc17233325"/>
      <w:bookmarkStart w:id="26" w:name="_Toc24884218"/>
      <w:bookmarkStart w:id="27" w:name="_Toc163029950"/>
      <w:bookmarkStart w:id="28" w:name="_Toc162315755"/>
      <w:bookmarkStart w:id="29" w:name="_Toc26986530"/>
      <w:bookmarkStart w:id="30" w:name="_Toc169626181"/>
      <w:bookmarkStart w:id="31" w:name="_Toc162359950"/>
      <w:bookmarkStart w:id="32" w:name="_Toc17233333"/>
      <w:bookmarkStart w:id="33" w:name="_Toc26986771"/>
      <w:bookmarkStart w:id="34" w:name="_Toc162359870"/>
      <w:bookmarkStart w:id="35" w:name="_Toc26648465"/>
      <w:bookmarkStart w:id="36" w:name="_Toc26718930"/>
      <w:bookmarkStart w:id="37" w:name="_Toc24884211"/>
      <w:bookmarkStart w:id="38" w:name="_Toc162341496"/>
      <w:r>
        <w:rPr>
          <w:rFonts w:hint="eastAsia"/>
          <w:sz w:val="24"/>
          <w:szCs w:val="24"/>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r>
        <w:rPr>
          <w:rFonts w:hint="eastAsia"/>
        </w:rPr>
        <w:t>本文件规定了校园食堂后厨的总体要求、从业人员、更衣间、食品容器、设备及工具、冰箱、周转小仓库、粗加工制作、切配、烹饪制作、餐用具清洗消毒、安全管理、食品安全卫生、记录的管理要求。</w:t>
      </w:r>
    </w:p>
    <w:p>
      <w:pPr>
        <w:pStyle w:val="56"/>
        <w:ind w:firstLine="420"/>
      </w:pPr>
      <w:r>
        <w:rPr>
          <w:rFonts w:hint="eastAsia"/>
        </w:rPr>
        <w:t>本文件适用于中小学校园食堂后厨管理。</w:t>
      </w:r>
    </w:p>
    <w:p>
      <w:pPr>
        <w:pStyle w:val="104"/>
        <w:spacing w:before="312" w:after="312"/>
        <w:rPr>
          <w:sz w:val="24"/>
          <w:szCs w:val="24"/>
        </w:rPr>
      </w:pPr>
      <w:bookmarkStart w:id="39" w:name="_Toc163029951"/>
      <w:bookmarkStart w:id="40" w:name="_Toc169626182"/>
      <w:bookmarkStart w:id="41" w:name="_Toc163029991"/>
      <w:bookmarkStart w:id="42" w:name="_Toc26648466"/>
      <w:bookmarkStart w:id="43" w:name="_Toc17233326"/>
      <w:bookmarkStart w:id="44" w:name="_Toc24884212"/>
      <w:bookmarkStart w:id="45" w:name="_Toc26986772"/>
      <w:bookmarkStart w:id="46" w:name="_Toc162359871"/>
      <w:bookmarkStart w:id="47" w:name="_Toc162359951"/>
      <w:bookmarkStart w:id="48" w:name="_Toc17233334"/>
      <w:bookmarkStart w:id="49" w:name="_Toc24884219"/>
      <w:bookmarkStart w:id="50" w:name="_Toc26986531"/>
      <w:bookmarkStart w:id="51" w:name="_Toc26718931"/>
      <w:bookmarkStart w:id="52" w:name="_Toc162341497"/>
      <w:bookmarkStart w:id="53" w:name="_Toc162315756"/>
      <w:r>
        <w:rPr>
          <w:rFonts w:hint="eastAsia"/>
          <w:sz w:val="24"/>
          <w:szCs w:val="24"/>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sz w:val="24"/>
          <w:szCs w:val="24"/>
        </w:rPr>
        <w:id w:val="715848253"/>
        <w:placeholder>
          <w:docPart w:val="4D53CF72E3B34192B44013A1010C743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sz w:val="24"/>
          <w:szCs w:val="24"/>
        </w:rPr>
      </w:sdtEndPr>
      <w:sdtContent>
        <w:p>
          <w:pPr>
            <w:pStyle w:val="56"/>
            <w:ind w:firstLine="480"/>
            <w:rPr>
              <w:sz w:val="24"/>
              <w:szCs w:val="24"/>
            </w:rPr>
          </w:pPr>
          <w:r>
            <w:rPr>
              <w:rFonts w:hint="eastAsia"/>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62"/>
        <w:numPr>
          <w:ilvl w:val="0"/>
          <w:numId w:val="0"/>
        </w:numPr>
        <w:ind w:firstLine="480" w:firstLineChars="200"/>
        <w:rPr>
          <w:color w:val="000000" w:themeColor="text1"/>
          <w:sz w:val="24"/>
          <w:szCs w:val="24"/>
          <w14:textFill>
            <w14:solidFill>
              <w14:schemeClr w14:val="tx1"/>
            </w14:solidFill>
          </w14:textFill>
        </w:rPr>
      </w:pPr>
      <w:bookmarkStart w:id="54" w:name="_Toc162341500"/>
      <w:bookmarkStart w:id="55" w:name="_Toc162359872"/>
      <w:bookmarkStart w:id="56" w:name="_Toc162315759"/>
      <w:bookmarkStart w:id="57" w:name="_Toc162359952"/>
      <w:bookmarkStart w:id="58" w:name="_Toc163029952"/>
      <w:bookmarkStart w:id="59" w:name="_Toc163029992"/>
      <w:r>
        <w:rPr>
          <w:rFonts w:hint="eastAsia"/>
          <w:color w:val="000000" w:themeColor="text1"/>
          <w:sz w:val="24"/>
          <w:szCs w:val="24"/>
          <w14:textFill>
            <w14:solidFill>
              <w14:schemeClr w14:val="tx1"/>
            </w14:solidFill>
          </w14:textFill>
        </w:rPr>
        <w:t>GB 2760 食品安全国家标准 食品添加剂使用标准</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GB 5749 生活饮用水卫生标准</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GB 4806.1 食品安全国家标准 食品接触材料及制品通用安全要求</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GB 14930.1食品安全国家标准 洗涤剂</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GB 14930.2 食品安全国家标准 消毒剂</w:t>
      </w:r>
    </w:p>
    <w:p>
      <w:pPr>
        <w:pStyle w:val="162"/>
        <w:numPr>
          <w:ilvl w:val="0"/>
          <w:numId w:val="0"/>
        </w:numPr>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GB</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14934</w:t>
      </w:r>
      <w:r>
        <w:rPr>
          <w:rFonts w:hint="eastAsia"/>
          <w:color w:val="000000" w:themeColor="text1"/>
          <w:sz w:val="24"/>
          <w:szCs w:val="24"/>
          <w14:textFill>
            <w14:solidFill>
              <w14:schemeClr w14:val="tx1"/>
            </w14:solidFill>
          </w14:textFill>
        </w:rPr>
        <w:t xml:space="preserve"> 食品安全国家标准 消毒餐（饮）具</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GB 31654 食品安全国家标准 餐饮服务通用卫生规范</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DB14/T</w:t>
      </w:r>
    </w:p>
    <w:p>
      <w:pPr>
        <w:pStyle w:val="162"/>
        <w:numPr>
          <w:ilvl w:val="0"/>
          <w:numId w:val="0"/>
        </w:num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DB14/T</w:t>
      </w:r>
    </w:p>
    <w:p>
      <w:pPr>
        <w:pStyle w:val="104"/>
        <w:spacing w:before="312" w:after="312"/>
        <w:rPr>
          <w:sz w:val="24"/>
          <w:szCs w:val="24"/>
        </w:rPr>
      </w:pPr>
      <w:bookmarkStart w:id="60" w:name="_Toc169626183"/>
      <w:r>
        <w:rPr>
          <w:rFonts w:hint="eastAsia"/>
          <w:sz w:val="24"/>
          <w:szCs w:val="24"/>
        </w:rPr>
        <w:t>术语和定义</w:t>
      </w:r>
      <w:bookmarkEnd w:id="54"/>
      <w:bookmarkEnd w:id="55"/>
      <w:bookmarkEnd w:id="56"/>
      <w:bookmarkEnd w:id="57"/>
      <w:bookmarkEnd w:id="58"/>
      <w:bookmarkEnd w:id="59"/>
      <w:bookmarkEnd w:id="60"/>
    </w:p>
    <w:p>
      <w:pPr>
        <w:pStyle w:val="56"/>
        <w:ind w:firstLine="480"/>
        <w:rPr>
          <w:sz w:val="24"/>
          <w:szCs w:val="24"/>
        </w:rPr>
      </w:pPr>
      <w:r>
        <w:rPr>
          <w:rFonts w:hint="eastAsia"/>
          <w:sz w:val="24"/>
          <w:szCs w:val="24"/>
        </w:rPr>
        <w:t>GB 31654界定的以及下列术语和定义适用于本文件</w:t>
      </w:r>
    </w:p>
    <w:p>
      <w:pPr>
        <w:pStyle w:val="105"/>
        <w:spacing w:before="156" w:after="156"/>
      </w:pPr>
    </w:p>
    <w:p>
      <w:pPr>
        <w:pStyle w:val="56"/>
        <w:ind w:firstLine="480"/>
        <w:rPr>
          <w:rFonts w:ascii="黑体" w:eastAsia="黑体"/>
          <w:sz w:val="24"/>
          <w:szCs w:val="24"/>
        </w:rPr>
      </w:pPr>
      <w:r>
        <w:rPr>
          <w:rFonts w:hint="eastAsia" w:ascii="黑体" w:eastAsia="黑体"/>
          <w:sz w:val="24"/>
          <w:szCs w:val="24"/>
        </w:rPr>
        <w:t>周转小仓库</w:t>
      </w:r>
    </w:p>
    <w:p>
      <w:pPr>
        <w:pStyle w:val="56"/>
        <w:ind w:firstLine="420"/>
      </w:pPr>
      <w:r>
        <w:rPr>
          <w:rFonts w:hint="eastAsia"/>
        </w:rPr>
        <w:t>厨房内设置贮存原料、辅料的库房，也可称二级库房。</w:t>
      </w:r>
    </w:p>
    <w:p>
      <w:pPr>
        <w:pStyle w:val="104"/>
        <w:spacing w:before="312" w:after="312"/>
        <w:rPr>
          <w:shd w:val="clear" w:color="auto" w:fill="FFFFFF"/>
        </w:rPr>
      </w:pPr>
      <w:bookmarkStart w:id="61" w:name="_Toc169626184"/>
      <w:r>
        <w:rPr>
          <w:rFonts w:hint="eastAsia"/>
          <w:shd w:val="clear" w:color="auto" w:fill="FFFFFF"/>
        </w:rPr>
        <w:t>总体要求</w:t>
      </w:r>
      <w:bookmarkEnd w:id="61"/>
    </w:p>
    <w:p>
      <w:pPr>
        <w:pStyle w:val="162"/>
      </w:pPr>
      <w:r>
        <w:rPr>
          <w:rFonts w:hint="eastAsia"/>
        </w:rPr>
        <w:t>学校食堂建筑与布局、设施与设备应符合GB 31654的规定。应保持学校食堂建筑结构完好，环境整洁，根据需要配备有害生物防治设施（如灭蝇灯、防蝇帘、风幕机、粘鼠板等）。</w:t>
      </w:r>
    </w:p>
    <w:p>
      <w:pPr>
        <w:pStyle w:val="162"/>
      </w:pPr>
      <w:r>
        <w:rPr>
          <w:rFonts w:hint="eastAsia"/>
        </w:rPr>
        <w:t>食品加工用水水质应符合GB 5749规定。</w:t>
      </w:r>
    </w:p>
    <w:p>
      <w:pPr>
        <w:pStyle w:val="162"/>
      </w:pPr>
      <w:r>
        <w:rPr>
          <w:rFonts w:hint="eastAsia"/>
        </w:rPr>
        <w:t>色标管理应符合DB 14/T的规定。</w:t>
      </w:r>
    </w:p>
    <w:p>
      <w:pPr>
        <w:pStyle w:val="162"/>
      </w:pPr>
      <w:r>
        <w:rPr>
          <w:rFonts w:hint="eastAsia"/>
        </w:rPr>
        <w:t>应配备餐厨废弃物存放容器，容器应配有盖子，废弃物存放容器与食品加工制作容器应有明显的区分标识。餐厨废弃物应及时清理，不应溢出存放设施。</w:t>
      </w:r>
    </w:p>
    <w:p>
      <w:pPr>
        <w:pStyle w:val="162"/>
      </w:pPr>
      <w:r>
        <w:rPr>
          <w:rFonts w:hint="eastAsia"/>
        </w:rPr>
        <w:t>应建立从业人员健康管理制度、食品安全自查制度、食品进货查验记录制度、原料控制要求、过程控制要求、食品安全事故处置方案等。</w:t>
      </w:r>
    </w:p>
    <w:p>
      <w:pPr>
        <w:pStyle w:val="104"/>
        <w:spacing w:before="312" w:after="312"/>
        <w:rPr>
          <w:color w:val="FF0000"/>
        </w:rPr>
      </w:pPr>
      <w:bookmarkStart w:id="62" w:name="_Toc169626185"/>
      <w:r>
        <w:rPr>
          <w:rFonts w:hint="eastAsia"/>
        </w:rPr>
        <w:t>从业人员</w:t>
      </w:r>
      <w:bookmarkEnd w:id="62"/>
    </w:p>
    <w:p>
      <w:pPr>
        <w:pStyle w:val="105"/>
        <w:spacing w:before="156" w:after="156"/>
      </w:pPr>
      <w:r>
        <w:rPr>
          <w:rFonts w:hint="eastAsia"/>
        </w:rPr>
        <w:t>基本要求</w:t>
      </w:r>
    </w:p>
    <w:p>
      <w:pPr>
        <w:pStyle w:val="165"/>
      </w:pPr>
      <w:r>
        <w:rPr>
          <w:rFonts w:hint="eastAsia"/>
        </w:rPr>
        <w:t>应配备与经营食品品种、数量相适应的从业人员。</w:t>
      </w:r>
    </w:p>
    <w:p>
      <w:pPr>
        <w:pStyle w:val="165"/>
      </w:pPr>
      <w:r>
        <w:rPr>
          <w:rFonts w:hint="eastAsia"/>
        </w:rPr>
        <w:t>从业人员应按工作职责在规定时间内完成各项工作任务。</w:t>
      </w:r>
    </w:p>
    <w:p>
      <w:pPr>
        <w:pStyle w:val="165"/>
      </w:pPr>
      <w:r>
        <w:rPr>
          <w:rFonts w:hint="eastAsia"/>
        </w:rPr>
        <w:t>工作时间内，从业人员不应擅自离岗、串岗，不应玩手机、睡觉等干与工作无关的事。</w:t>
      </w:r>
    </w:p>
    <w:p>
      <w:pPr>
        <w:pStyle w:val="105"/>
        <w:spacing w:before="156" w:after="156"/>
      </w:pPr>
      <w:r>
        <w:rPr>
          <w:rFonts w:hint="eastAsia"/>
        </w:rPr>
        <w:t>人员健康与卫生</w:t>
      </w:r>
    </w:p>
    <w:p>
      <w:pPr>
        <w:pStyle w:val="165"/>
      </w:pPr>
      <w:r>
        <w:rPr>
          <w:rFonts w:hint="eastAsia"/>
        </w:rPr>
        <w:t>应建立并执行食品从业人员健康管理制度。</w:t>
      </w:r>
    </w:p>
    <w:p>
      <w:pPr>
        <w:pStyle w:val="165"/>
      </w:pPr>
      <w:r>
        <w:rPr>
          <w:rFonts w:hint="eastAsia"/>
        </w:rPr>
        <w:t>从事切菜、配菜、烹饪、餐用具清洗消毒等接触直接入口食品工作的人员应每年进行健康检查，取得健康证后方可上岗。</w:t>
      </w:r>
    </w:p>
    <w:p>
      <w:pPr>
        <w:pStyle w:val="165"/>
      </w:pPr>
      <w:r>
        <w:rPr>
          <w:rFonts w:hint="eastAsia"/>
        </w:rPr>
        <w:t>患有霍乱、细菌性和阿米巴性痢疾、伤寒和副伤寒、病毒性肝炎（甲型、戊型），活动性肺结核、化脓性或者渗出性皮肤病等国务院卫生行政部门规定的有碍食品安全疾病的人员，不应从事接触直接入口食品的工作。</w:t>
      </w:r>
    </w:p>
    <w:p>
      <w:pPr>
        <w:pStyle w:val="165"/>
      </w:pPr>
      <w:r>
        <w:rPr>
          <w:rFonts w:hint="eastAsia"/>
        </w:rPr>
        <w:t>从业人员每天上岗前应进行健康状况检查，发现患有发热、呕吐、腹泻、咽部严重炎症等病症及皮肤有伤口或者感染的从业人员，应暂停从事接触直接入口食品的工作，待查明原因并排除有碍食品安全的疾病后方可重新上岗。</w:t>
      </w:r>
    </w:p>
    <w:p>
      <w:pPr>
        <w:pStyle w:val="165"/>
      </w:pPr>
      <w:r>
        <w:rPr>
          <w:rFonts w:hint="eastAsia"/>
        </w:rPr>
        <w:t>从业人员应保持良好的个人卫生，不应留长指甲、涂指甲油、化妆。</w:t>
      </w:r>
    </w:p>
    <w:p>
      <w:pPr>
        <w:pStyle w:val="165"/>
      </w:pPr>
      <w:r>
        <w:rPr>
          <w:rFonts w:hint="eastAsia"/>
        </w:rPr>
        <w:t>工作时，应按规定穿工作服，戴工作帽，戴口罩，口罩遮住口鼻，保持仪表、仪容整洁。不应穿拖鞋、露脚趾的凉鞋上班。</w:t>
      </w:r>
    </w:p>
    <w:p>
      <w:pPr>
        <w:pStyle w:val="165"/>
      </w:pPr>
      <w:r>
        <w:rPr>
          <w:rFonts w:hint="eastAsia"/>
        </w:rPr>
        <w:t>从业人员加工食品前应洗净手部并消毒。</w:t>
      </w:r>
    </w:p>
    <w:p>
      <w:pPr>
        <w:pStyle w:val="165"/>
      </w:pPr>
      <w:r>
        <w:rPr>
          <w:rFonts w:hint="eastAsia"/>
        </w:rPr>
        <w:t>接触非直接入口食品后、触摸头发、耳朵、鼻子、面部、口腔或身体其他部位后应重新洗净手部并消毒。</w:t>
      </w:r>
    </w:p>
    <w:p>
      <w:pPr>
        <w:pStyle w:val="165"/>
      </w:pPr>
      <w:r>
        <w:rPr>
          <w:rFonts w:hint="eastAsia"/>
        </w:rPr>
        <w:t>从业人员个人用品应集中存放，存放位置应不影响食品安全。</w:t>
      </w:r>
    </w:p>
    <w:p>
      <w:pPr>
        <w:pStyle w:val="105"/>
        <w:spacing w:before="156" w:after="156"/>
      </w:pPr>
      <w:r>
        <w:rPr>
          <w:rFonts w:hint="eastAsia"/>
        </w:rPr>
        <w:t>人员培训</w:t>
      </w:r>
    </w:p>
    <w:p>
      <w:pPr>
        <w:pStyle w:val="165"/>
      </w:pPr>
      <w:r>
        <w:rPr>
          <w:rFonts w:hint="eastAsia"/>
        </w:rPr>
        <w:t>应建立食品安全培训制度，对各岗位从业人员进行相应的食品安全知识培训。</w:t>
      </w:r>
    </w:p>
    <w:p>
      <w:pPr>
        <w:pStyle w:val="165"/>
      </w:pPr>
      <w:r>
        <w:rPr>
          <w:rFonts w:hint="eastAsia"/>
        </w:rPr>
        <w:t>应根据不同岗位的实际需求，制定和实施食品安全年度培训计划，并做好培训记录。当食品安全相关的法律法规标准更新时，应及时开展培训。</w:t>
      </w:r>
    </w:p>
    <w:p>
      <w:pPr>
        <w:pStyle w:val="104"/>
        <w:spacing w:before="312" w:after="312"/>
      </w:pPr>
      <w:bookmarkStart w:id="63" w:name="_Toc169626186"/>
      <w:r>
        <w:rPr>
          <w:rFonts w:hint="eastAsia"/>
        </w:rPr>
        <w:t>更衣间</w:t>
      </w:r>
      <w:bookmarkEnd w:id="63"/>
    </w:p>
    <w:p>
      <w:pPr>
        <w:pStyle w:val="162"/>
      </w:pPr>
      <w:r>
        <w:rPr>
          <w:rFonts w:hint="eastAsia"/>
        </w:rPr>
        <w:t>应在食品处理区入口处设立独立更衣间，更衣间内应配备更衣柜、鞋柜、洗手消毒池等设施，且设施的数量满足要求。</w:t>
      </w:r>
    </w:p>
    <w:p>
      <w:pPr>
        <w:pStyle w:val="162"/>
      </w:pPr>
      <w:r>
        <w:rPr>
          <w:rFonts w:hint="eastAsia"/>
        </w:rPr>
        <w:t>洗手消毒池应采用不透水、不易积垢、易于清洁的材料。水龙头应采用非手动式，宜提供温水。</w:t>
      </w:r>
    </w:p>
    <w:p>
      <w:pPr>
        <w:pStyle w:val="162"/>
      </w:pPr>
      <w:r>
        <w:rPr>
          <w:rFonts w:hint="eastAsia"/>
        </w:rPr>
        <w:t>洗手消毒池附近应配备洗手用品和干手设施；洗手消毒池上方应标示洗手方法。</w:t>
      </w:r>
    </w:p>
    <w:p>
      <w:pPr>
        <w:pStyle w:val="104"/>
        <w:spacing w:before="312" w:after="312"/>
      </w:pPr>
      <w:bookmarkStart w:id="64" w:name="_Toc169626187"/>
      <w:r>
        <w:rPr>
          <w:rFonts w:hint="eastAsia"/>
        </w:rPr>
        <w:t>食品容器、设备及工具</w:t>
      </w:r>
      <w:bookmarkEnd w:id="64"/>
    </w:p>
    <w:p>
      <w:pPr>
        <w:pStyle w:val="162"/>
      </w:pPr>
      <w:r>
        <w:rPr>
          <w:rFonts w:hint="eastAsia"/>
        </w:rPr>
        <w:t>应根据加工食品的需要，配备相应的容器、工具和设备等。不应将食品容器工具和设备用于与食品盛放、加工等无关的用途。</w:t>
      </w:r>
    </w:p>
    <w:p>
      <w:pPr>
        <w:pStyle w:val="162"/>
      </w:pPr>
      <w:r>
        <w:rPr>
          <w:rFonts w:hint="eastAsia"/>
        </w:rPr>
        <w:t>设备的摆放位置应便于操作、清洁、维护和减少交叉污染。固定安装的设备应安装牢固，与地面、墙壁无缝隙,或者保留足够的清洁、维护空间。</w:t>
      </w:r>
    </w:p>
    <w:p>
      <w:pPr>
        <w:pStyle w:val="162"/>
      </w:pPr>
      <w:r>
        <w:rPr>
          <w:rFonts w:hint="eastAsia"/>
        </w:rPr>
        <w:t>与食品接触用工具、容器和设备的材料应符合GB 4806.1规定。</w:t>
      </w:r>
    </w:p>
    <w:p>
      <w:pPr>
        <w:pStyle w:val="162"/>
      </w:pPr>
      <w:r>
        <w:rPr>
          <w:rFonts w:hint="eastAsia"/>
        </w:rPr>
        <w:t>与食品接触的容器、工具和设备与食品接触的表面应光滑，设计和结构上应避免零件、金属碎屑或者其他污染因素混入食品，应易于检查和维护。</w:t>
      </w:r>
    </w:p>
    <w:p>
      <w:pPr>
        <w:pStyle w:val="162"/>
      </w:pPr>
      <w:r>
        <w:rPr>
          <w:rFonts w:hint="eastAsia"/>
        </w:rPr>
        <w:t>用于盛放和加工原料、半成品、成品的容器、工具和设备应能明显区分，分开放置和使用。</w:t>
      </w:r>
    </w:p>
    <w:p>
      <w:pPr>
        <w:pStyle w:val="162"/>
      </w:pPr>
      <w:r>
        <w:rPr>
          <w:rFonts w:hint="eastAsia"/>
        </w:rPr>
        <w:t>容器、设备、工具使用后应定期清洁，必要时定期消毒。</w:t>
      </w:r>
    </w:p>
    <w:p>
      <w:pPr>
        <w:pStyle w:val="162"/>
      </w:pPr>
      <w:r>
        <w:rPr>
          <w:rFonts w:hint="eastAsia"/>
        </w:rPr>
        <w:t>从业人员不应擅自将专用设备改作它用。</w:t>
      </w:r>
    </w:p>
    <w:p>
      <w:pPr>
        <w:pStyle w:val="162"/>
      </w:pPr>
      <w:r>
        <w:rPr>
          <w:rFonts w:hint="eastAsia"/>
        </w:rPr>
        <w:t>设备应定期维护，出现问题及时维修、更换。</w:t>
      </w:r>
    </w:p>
    <w:p>
      <w:pPr>
        <w:pStyle w:val="104"/>
        <w:spacing w:before="312" w:after="312"/>
      </w:pPr>
      <w:bookmarkStart w:id="65" w:name="_Toc169626188"/>
      <w:r>
        <w:rPr>
          <w:rFonts w:hint="eastAsia"/>
        </w:rPr>
        <w:t>冰箱</w:t>
      </w:r>
      <w:bookmarkEnd w:id="65"/>
    </w:p>
    <w:p>
      <w:pPr>
        <w:pStyle w:val="162"/>
      </w:pPr>
      <w:r>
        <w:rPr>
          <w:rFonts w:hint="eastAsia"/>
        </w:rPr>
        <w:t>应存放食品加工用原料、调料及其盛器，不应存放其他杂物。</w:t>
      </w:r>
    </w:p>
    <w:p>
      <w:pPr>
        <w:pStyle w:val="162"/>
      </w:pPr>
      <w:r>
        <w:rPr>
          <w:rFonts w:hint="eastAsia"/>
        </w:rPr>
        <w:t>原料、调料等应按物品种类、性质分类存放。</w:t>
      </w:r>
    </w:p>
    <w:p>
      <w:pPr>
        <w:pStyle w:val="162"/>
      </w:pPr>
      <w:r>
        <w:rPr>
          <w:rFonts w:hint="eastAsia"/>
        </w:rPr>
        <w:t>冰箱内存放原料、半成品及食品应装入保鲜袋或保鲜盒等密闭容器内，半成品应加贴品名、加工日期标签。</w:t>
      </w:r>
    </w:p>
    <w:p>
      <w:pPr>
        <w:pStyle w:val="162"/>
      </w:pPr>
      <w:r>
        <w:rPr>
          <w:rFonts w:hint="eastAsia"/>
        </w:rPr>
        <w:t>应指定专人按规定检查记录冰箱冷藏、冷冻温度。</w:t>
      </w:r>
    </w:p>
    <w:p>
      <w:pPr>
        <w:pStyle w:val="162"/>
      </w:pPr>
      <w:r>
        <w:rPr>
          <w:rFonts w:hint="eastAsia"/>
        </w:rPr>
        <w:t>应定期对冰箱进行清理消毒。</w:t>
      </w:r>
    </w:p>
    <w:p>
      <w:pPr>
        <w:pStyle w:val="104"/>
        <w:spacing w:before="312" w:after="312"/>
      </w:pPr>
      <w:bookmarkStart w:id="66" w:name="_Toc169626189"/>
      <w:r>
        <w:rPr>
          <w:rFonts w:hint="eastAsia"/>
        </w:rPr>
        <w:t>周转小仓库</w:t>
      </w:r>
      <w:bookmarkEnd w:id="66"/>
    </w:p>
    <w:p>
      <w:pPr>
        <w:pStyle w:val="162"/>
      </w:pPr>
      <w:r>
        <w:rPr>
          <w:rFonts w:hint="eastAsia"/>
        </w:rPr>
        <w:t>应存放厨房烹饪原料、调料及其盛器以及一定量厨房周转用具，不应存放其他杂物。</w:t>
      </w:r>
    </w:p>
    <w:p>
      <w:pPr>
        <w:pStyle w:val="162"/>
      </w:pPr>
      <w:r>
        <w:rPr>
          <w:rFonts w:hint="eastAsia"/>
        </w:rPr>
        <w:t>原料、调料等应按物品种类、性质分类存放。</w:t>
      </w:r>
    </w:p>
    <w:p>
      <w:pPr>
        <w:pStyle w:val="162"/>
      </w:pPr>
      <w:r>
        <w:rPr>
          <w:rFonts w:hint="eastAsia"/>
        </w:rPr>
        <w:t>小件及零散物品应置于盘、筐内集中存放。所有物品存放应地10 cm，离墙10 cm。粮食类物品离地25 cm，离墙25 cm。</w:t>
      </w:r>
    </w:p>
    <w:p>
      <w:pPr>
        <w:pStyle w:val="162"/>
      </w:pPr>
      <w:r>
        <w:rPr>
          <w:rFonts w:hint="eastAsia"/>
        </w:rPr>
        <w:t>库存物品应遵循“先进、先出、先用”的原则。</w:t>
      </w:r>
    </w:p>
    <w:p>
      <w:pPr>
        <w:pStyle w:val="162"/>
      </w:pPr>
      <w:r>
        <w:rPr>
          <w:rFonts w:hint="eastAsia"/>
        </w:rPr>
        <w:t>应定期检查存储原料、调料的保质期，超过保质期的原料、辅料不应用于食品加工。</w:t>
      </w:r>
    </w:p>
    <w:p>
      <w:pPr>
        <w:pStyle w:val="162"/>
      </w:pPr>
      <w:r>
        <w:rPr>
          <w:rFonts w:hint="eastAsia"/>
        </w:rPr>
        <w:t>应定期对小仓库进行清洁整理。</w:t>
      </w:r>
    </w:p>
    <w:p>
      <w:pPr>
        <w:pStyle w:val="104"/>
        <w:spacing w:before="312" w:after="312"/>
      </w:pPr>
      <w:bookmarkStart w:id="67" w:name="_Toc169626190"/>
      <w:r>
        <w:rPr>
          <w:rFonts w:hint="eastAsia"/>
        </w:rPr>
        <w:t>粗加工制作</w:t>
      </w:r>
      <w:bookmarkEnd w:id="67"/>
    </w:p>
    <w:p>
      <w:pPr>
        <w:pStyle w:val="162"/>
      </w:pPr>
      <w:r>
        <w:rPr>
          <w:rFonts w:hint="eastAsia"/>
        </w:rPr>
        <w:t>食品原料应根据特性经挑拣、清理、解冻、清洗等工序后再加工。</w:t>
      </w:r>
    </w:p>
    <w:p>
      <w:pPr>
        <w:pStyle w:val="162"/>
      </w:pPr>
      <w:r>
        <w:rPr>
          <w:rFonts w:hint="eastAsia"/>
        </w:rPr>
        <w:t>盛放或加工不同类型食品原料的工具和容器应分开使用，参照DB/T 规定执行。</w:t>
      </w:r>
    </w:p>
    <w:p>
      <w:pPr>
        <w:pStyle w:val="162"/>
      </w:pPr>
      <w:r>
        <w:rPr>
          <w:rFonts w:hint="eastAsia"/>
        </w:rPr>
        <w:t>使用禽蛋前，应清洗禽蛋的外壳，必要时消毒外壳。</w:t>
      </w:r>
    </w:p>
    <w:p>
      <w:pPr>
        <w:pStyle w:val="162"/>
      </w:pPr>
      <w:r>
        <w:rPr>
          <w:rFonts w:hint="eastAsia"/>
        </w:rPr>
        <w:t>冷冻(藏)食品原料出库后，应及时加工制作。冷冻食品原料不宜反复解冻、冷冻。</w:t>
      </w:r>
    </w:p>
    <w:p>
      <w:pPr>
        <w:pStyle w:val="162"/>
      </w:pPr>
      <w:r>
        <w:rPr>
          <w:rFonts w:hint="eastAsia"/>
        </w:rPr>
        <w:t>宜使用冷藏解冻或冷水解冻方法进行解冻，解冻时应有防护避免受到污染。使用微波解冻方式的食品原料应立即加工制作。</w:t>
      </w:r>
    </w:p>
    <w:p>
      <w:pPr>
        <w:pStyle w:val="162"/>
      </w:pPr>
      <w:r>
        <w:rPr>
          <w:rFonts w:hint="eastAsia"/>
        </w:rPr>
        <w:t>应缩短解冻后的高危易腐食品原料在常温下的存放时间，食品原料表面温度不宜超过8℃。</w:t>
      </w:r>
    </w:p>
    <w:p>
      <w:pPr>
        <w:pStyle w:val="162"/>
      </w:pPr>
      <w:r>
        <w:rPr>
          <w:rFonts w:hint="eastAsia"/>
        </w:rPr>
        <w:t>半成品应及时使用或冷冻(藏)贮存。</w:t>
      </w:r>
    </w:p>
    <w:p>
      <w:pPr>
        <w:pStyle w:val="105"/>
        <w:spacing w:before="156" w:after="156"/>
      </w:pPr>
      <w:r>
        <w:rPr>
          <w:rFonts w:hint="eastAsia"/>
        </w:rPr>
        <w:t>切配</w:t>
      </w:r>
    </w:p>
    <w:p>
      <w:pPr>
        <w:pStyle w:val="162"/>
      </w:pPr>
      <w:r>
        <w:rPr>
          <w:rFonts w:hint="eastAsia"/>
        </w:rPr>
        <w:t>工作前，应定时开启紫外线灯进行消毒杀菌。</w:t>
      </w:r>
    </w:p>
    <w:p>
      <w:pPr>
        <w:pStyle w:val="162"/>
      </w:pPr>
      <w:r>
        <w:rPr>
          <w:rFonts w:hint="eastAsia"/>
        </w:rPr>
        <w:t>切配工用具如刀、砧板、抹布、餐具等应彻底清洗、消毒后再使用。</w:t>
      </w:r>
    </w:p>
    <w:p>
      <w:pPr>
        <w:pStyle w:val="162"/>
      </w:pPr>
      <w:r>
        <w:rPr>
          <w:rFonts w:hint="eastAsia"/>
        </w:rPr>
        <w:t>生食、熟食的刀、砧板、盛器、抹布等应区分使用，不应混用。</w:t>
      </w:r>
    </w:p>
    <w:p>
      <w:pPr>
        <w:pStyle w:val="162"/>
      </w:pPr>
      <w:r>
        <w:rPr>
          <w:rFonts w:hint="eastAsia"/>
        </w:rPr>
        <w:t>各类调料、切配工用具使用之后应尽快归位摆放，保持工作台清洁、整齐、无油污。</w:t>
      </w:r>
    </w:p>
    <w:p>
      <w:pPr>
        <w:pStyle w:val="162"/>
      </w:pPr>
      <w:r>
        <w:rPr>
          <w:rFonts w:hint="eastAsia"/>
        </w:rPr>
        <w:t>应及时使用或冷冻（藏）贮存切配好的半成品。</w:t>
      </w:r>
    </w:p>
    <w:p>
      <w:pPr>
        <w:pStyle w:val="105"/>
        <w:spacing w:before="156" w:after="156"/>
      </w:pPr>
      <w:r>
        <w:rPr>
          <w:rFonts w:hint="eastAsia"/>
        </w:rPr>
        <w:t>烹饪制作</w:t>
      </w:r>
    </w:p>
    <w:p>
      <w:pPr>
        <w:pStyle w:val="162"/>
      </w:pPr>
      <w:r>
        <w:rPr>
          <w:rFonts w:hint="eastAsia"/>
        </w:rPr>
        <w:t>食品烹饪的温度和时间应能保证食品安全。</w:t>
      </w:r>
    </w:p>
    <w:p>
      <w:pPr>
        <w:pStyle w:val="162"/>
      </w:pPr>
      <w:r>
        <w:rPr>
          <w:rFonts w:hint="eastAsia"/>
        </w:rPr>
        <w:t>需要烧熟煮透的食品,加工时食品的中心温度应达到70℃以上;加工时食品的中心温度低于70℃的,应严格控制原料质量安全或采取其他措施(如延长烹饪时间等)，确保食品安全。</w:t>
      </w:r>
    </w:p>
    <w:p>
      <w:pPr>
        <w:pStyle w:val="162"/>
      </w:pPr>
      <w:r>
        <w:rPr>
          <w:rFonts w:hint="eastAsia"/>
        </w:rPr>
        <w:t>宜尽可能减少食品在烹饪过程中产生有害物质。</w:t>
      </w:r>
    </w:p>
    <w:p>
      <w:pPr>
        <w:pStyle w:val="162"/>
      </w:pPr>
      <w:r>
        <w:rPr>
          <w:rFonts w:hint="eastAsia"/>
        </w:rPr>
        <w:t>油炸食品前，应减少食品表面的多余水分。油炸食品时，油温不宜超过190℃。油量不足时，应及时添加新油。定期过滤在用油，去除食物残渣。。</w:t>
      </w:r>
    </w:p>
    <w:p>
      <w:pPr>
        <w:pStyle w:val="104"/>
        <w:spacing w:before="312" w:after="312"/>
      </w:pPr>
      <w:bookmarkStart w:id="68" w:name="_Toc169626191"/>
      <w:r>
        <w:rPr>
          <w:rFonts w:hint="eastAsia"/>
        </w:rPr>
        <w:t>餐用具清洗消毒</w:t>
      </w:r>
      <w:bookmarkEnd w:id="68"/>
    </w:p>
    <w:p>
      <w:pPr>
        <w:pStyle w:val="162"/>
      </w:pPr>
      <w:r>
        <w:rPr>
          <w:rFonts w:hint="eastAsia"/>
        </w:rPr>
        <w:t>餐用具使用后应及时洗净消毒。放在消毒柜的餐用具应有间隙的整齐摆放，不能叠放。</w:t>
      </w:r>
    </w:p>
    <w:p>
      <w:pPr>
        <w:pStyle w:val="162"/>
      </w:pPr>
      <w:r>
        <w:rPr>
          <w:rFonts w:hint="eastAsia"/>
        </w:rPr>
        <w:t>餐用具消毒设备应正常运转。定期检查餐用具消毒设备或设施的运行状态。</w:t>
      </w:r>
    </w:p>
    <w:p>
      <w:pPr>
        <w:pStyle w:val="162"/>
      </w:pPr>
      <w:r>
        <w:rPr>
          <w:rFonts w:hint="eastAsia"/>
        </w:rPr>
        <w:t>宜沥干、烘干清洗消毒后的餐用具。使用抹布擦干的，抹布应专用，并经清洗消毒后方可使用。</w:t>
      </w:r>
    </w:p>
    <w:p>
      <w:pPr>
        <w:pStyle w:val="162"/>
      </w:pPr>
      <w:r>
        <w:rPr>
          <w:rFonts w:hint="eastAsia"/>
        </w:rPr>
        <w:t>使用的洗涤剂、消毒剂应分别符合GB 14930.1和GB 14930.2等食品安全国家标准和有关规定。</w:t>
      </w:r>
    </w:p>
    <w:p>
      <w:pPr>
        <w:pStyle w:val="162"/>
      </w:pPr>
      <w:r>
        <w:rPr>
          <w:rFonts w:hint="eastAsia"/>
        </w:rPr>
        <w:t>消毒后的餐用具应符合GB 14934规定。</w:t>
      </w:r>
    </w:p>
    <w:p>
      <w:pPr>
        <w:pStyle w:val="104"/>
        <w:spacing w:before="312" w:after="312"/>
      </w:pPr>
      <w:bookmarkStart w:id="69" w:name="_Toc169626192"/>
      <w:r>
        <w:rPr>
          <w:rFonts w:hint="eastAsia"/>
        </w:rPr>
        <w:t>安全管理</w:t>
      </w:r>
      <w:bookmarkEnd w:id="69"/>
    </w:p>
    <w:p>
      <w:pPr>
        <w:pStyle w:val="105"/>
        <w:spacing w:before="156" w:after="156"/>
      </w:pPr>
      <w:r>
        <w:rPr>
          <w:rFonts w:hint="eastAsia"/>
        </w:rPr>
        <w:t>厨房安全加工要求</w:t>
      </w:r>
    </w:p>
    <w:p>
      <w:pPr>
        <w:pStyle w:val="165"/>
      </w:pPr>
      <w:r>
        <w:rPr>
          <w:rFonts w:hint="eastAsia"/>
        </w:rPr>
        <w:t>使用各种刀具时，应注意力集中，方法正确。不应将刀随意乱放，更不应拿着刀边走边甩，禁止拿着刀具打闹。不应将刀放在工作台或砧板的边缘，以免震动时滑落砸到脚趾，一旦发现刀具掉落，切不可用手去接。</w:t>
      </w:r>
      <w:r>
        <w:t xml:space="preserve"> </w:t>
      </w:r>
    </w:p>
    <w:p>
      <w:pPr>
        <w:pStyle w:val="165"/>
      </w:pPr>
      <w:r>
        <w:rPr>
          <w:rFonts w:hint="eastAsia"/>
        </w:rPr>
        <w:t>清洗刀具时，应一件一件进行，不应将多把刀具浸没在放满水的洗涤池中清洗。</w:t>
      </w:r>
    </w:p>
    <w:p>
      <w:pPr>
        <w:pStyle w:val="165"/>
      </w:pPr>
      <w:r>
        <w:rPr>
          <w:rFonts w:hint="eastAsia"/>
        </w:rPr>
        <w:t>清洗设备时（如绞肉机、搅拌机），应先切断电源，再清洗，清洁锐利的刀片时应格外小心谨慎，洗擦时要将抹布折叠到一定的厚度，由里向外擦。</w:t>
      </w:r>
    </w:p>
    <w:p>
      <w:pPr>
        <w:pStyle w:val="165"/>
      </w:pPr>
      <w:r>
        <w:rPr>
          <w:rFonts w:hint="eastAsia"/>
        </w:rPr>
        <w:t>地面应保持清洁、干燥。油、汤、水撒在地面应立即擦干。地面如有破碎的玻璃器具和陶瓷器皿，应及时清理。</w:t>
      </w:r>
    </w:p>
    <w:p>
      <w:pPr>
        <w:pStyle w:val="165"/>
      </w:pPr>
      <w:r>
        <w:rPr>
          <w:rFonts w:hint="eastAsia"/>
        </w:rPr>
        <w:t>使用蒸柜、炸炉等加热设备时，人体不应离炉体太近。蒸柜内拿取食物时，应先关闭气阀，再打开柜门，散发热蒸汽后再使用抹布拿取。</w:t>
      </w:r>
    </w:p>
    <w:p>
      <w:pPr>
        <w:pStyle w:val="165"/>
      </w:pPr>
      <w:r>
        <w:rPr>
          <w:rFonts w:hint="eastAsia"/>
        </w:rPr>
        <w:t>设备使用过程中如发现有冒烟、焦味、电火花等异常现象时应立即停用，维修正常后再使用。</w:t>
      </w:r>
    </w:p>
    <w:p>
      <w:pPr>
        <w:pStyle w:val="165"/>
      </w:pPr>
      <w:r>
        <w:rPr>
          <w:rFonts w:hint="eastAsia"/>
        </w:rPr>
        <w:t>非维修人员不应随意拆卸、更换设备内的零件和线路。</w:t>
      </w:r>
    </w:p>
    <w:p>
      <w:pPr>
        <w:pStyle w:val="165"/>
      </w:pPr>
      <w:r>
        <w:rPr>
          <w:rFonts w:hint="eastAsia"/>
        </w:rPr>
        <w:t>清洗设备前应先切断电源再清洗；当手上沾有油或水时，不要触摸电源插头、开关等部件。</w:t>
      </w:r>
    </w:p>
    <w:p>
      <w:pPr>
        <w:pStyle w:val="165"/>
      </w:pPr>
      <w:r>
        <w:rPr>
          <w:rFonts w:hint="eastAsia"/>
        </w:rPr>
        <w:t>正在使用火源的工作人员，不应离开自己的岗位。</w:t>
      </w:r>
    </w:p>
    <w:p>
      <w:pPr>
        <w:pStyle w:val="165"/>
      </w:pPr>
      <w:r>
        <w:rPr>
          <w:rFonts w:hint="eastAsia"/>
        </w:rPr>
        <w:t>下班前，应关闭水管、切断设备（冰箱除外）电源，关闭燃气阀门。</w:t>
      </w:r>
    </w:p>
    <w:p>
      <w:pPr>
        <w:pStyle w:val="105"/>
        <w:spacing w:before="156" w:after="156"/>
      </w:pPr>
      <w:r>
        <w:rPr>
          <w:rFonts w:hint="eastAsia"/>
        </w:rPr>
        <w:t>消防要求</w:t>
      </w:r>
    </w:p>
    <w:p>
      <w:pPr>
        <w:pStyle w:val="165"/>
      </w:pPr>
      <w:r>
        <w:rPr>
          <w:rFonts w:hint="eastAsia"/>
        </w:rPr>
        <w:t>应按照消防部门的要求配置灭火器、灭火毯等消防器材</w:t>
      </w:r>
      <w:bookmarkStart w:id="73" w:name="_GoBack"/>
      <w:bookmarkEnd w:id="73"/>
      <w:r>
        <w:rPr>
          <w:rFonts w:hint="eastAsia"/>
        </w:rPr>
        <w:t>，固定位置，灭火器应定期更换。</w:t>
      </w:r>
    </w:p>
    <w:p>
      <w:pPr>
        <w:pStyle w:val="165"/>
        <w:rPr>
          <w:color w:val="FF0000"/>
        </w:rPr>
      </w:pPr>
      <w:r>
        <w:rPr>
          <w:rFonts w:hint="eastAsia"/>
          <w:color w:val="FF0000"/>
        </w:rPr>
        <w:t>每75㎡配备一个灭火器，每100㎡配备一个干粉灭火器，灭火器距离火源10</w:t>
      </w:r>
      <w:r>
        <w:rPr>
          <w:rFonts w:hint="eastAsia"/>
          <w:color w:val="FF0000"/>
          <w:lang w:val="en-US" w:eastAsia="zh-CN"/>
        </w:rPr>
        <w:t xml:space="preserve"> m</w:t>
      </w:r>
      <w:r>
        <w:rPr>
          <w:rFonts w:hint="eastAsia" w:ascii="仿宋" w:hAnsi="仿宋" w:eastAsia="仿宋" w:cs="仿宋"/>
          <w:color w:val="FF0000"/>
        </w:rPr>
        <w:t>～</w:t>
      </w:r>
      <w:r>
        <w:rPr>
          <w:rFonts w:hint="eastAsia"/>
          <w:color w:val="FF0000"/>
        </w:rPr>
        <w:t>15</w:t>
      </w:r>
      <w:r>
        <w:rPr>
          <w:rFonts w:hint="eastAsia"/>
          <w:color w:val="FF0000"/>
          <w:lang w:val="en-US" w:eastAsia="zh-CN"/>
        </w:rPr>
        <w:t xml:space="preserve"> m</w:t>
      </w:r>
      <w:r>
        <w:rPr>
          <w:rFonts w:hint="eastAsia"/>
          <w:color w:val="FF0000"/>
        </w:rPr>
        <w:t>固定位置放置。</w:t>
      </w:r>
    </w:p>
    <w:p>
      <w:pPr>
        <w:pStyle w:val="165"/>
      </w:pPr>
      <w:r>
        <w:rPr>
          <w:rFonts w:hint="eastAsia"/>
        </w:rPr>
        <w:t>烹饪区附近配备灭火毯。</w:t>
      </w:r>
      <w:r>
        <w:rPr>
          <w:sz w:val="22"/>
          <w:szCs w:val="21"/>
        </w:rPr>
        <w:t xml:space="preserve"> </w:t>
      </w:r>
    </w:p>
    <w:p>
      <w:pPr>
        <w:pStyle w:val="104"/>
        <w:spacing w:before="312" w:after="312"/>
      </w:pPr>
      <w:bookmarkStart w:id="70" w:name="_Toc169626193"/>
      <w:r>
        <w:rPr>
          <w:rFonts w:hint="eastAsia"/>
        </w:rPr>
        <w:t>食品安全卫生</w:t>
      </w:r>
      <w:bookmarkEnd w:id="70"/>
    </w:p>
    <w:p>
      <w:pPr>
        <w:pStyle w:val="105"/>
        <w:spacing w:before="156" w:after="156"/>
      </w:pPr>
      <w:r>
        <w:rPr>
          <w:rFonts w:hint="eastAsia"/>
        </w:rPr>
        <w:t>原料、辅料</w:t>
      </w:r>
    </w:p>
    <w:p>
      <w:pPr>
        <w:pStyle w:val="56"/>
        <w:ind w:firstLine="420"/>
      </w:pPr>
      <w:r>
        <w:rPr>
          <w:rFonts w:hint="eastAsia"/>
        </w:rPr>
        <w:t>原料、辅料的采购、运输、采购及贮存应符合GB 31654的规定。</w:t>
      </w:r>
    </w:p>
    <w:p>
      <w:pPr>
        <w:pStyle w:val="105"/>
        <w:spacing w:before="156" w:after="156"/>
      </w:pPr>
      <w:r>
        <w:rPr>
          <w:rFonts w:hint="eastAsia"/>
        </w:rPr>
        <w:t>食品添加剂</w:t>
      </w:r>
    </w:p>
    <w:p>
      <w:pPr>
        <w:pStyle w:val="165"/>
      </w:pPr>
      <w:r>
        <w:rPr>
          <w:rFonts w:hint="eastAsia"/>
        </w:rPr>
        <w:t>加工工艺如需使用食品添加剂应符合GB 2760规定。</w:t>
      </w:r>
    </w:p>
    <w:p>
      <w:pPr>
        <w:pStyle w:val="165"/>
      </w:pPr>
      <w:r>
        <w:rPr>
          <w:rFonts w:hint="eastAsia"/>
        </w:rPr>
        <w:t>不应采购、贮存、使用亚硝酸盐等国家禁止在餐饮业使用的品种。</w:t>
      </w:r>
    </w:p>
    <w:p>
      <w:pPr>
        <w:pStyle w:val="165"/>
      </w:pPr>
      <w:r>
        <w:rPr>
          <w:rFonts w:hint="eastAsia"/>
        </w:rPr>
        <w:t>用容器盛放开封后的食品添加剂,应在容器上标明食品添加剂名称、生产日期或批号、使用期限,并保留食品添加剂原包装。开封后的食品添加剂应避免受到污染。</w:t>
      </w:r>
    </w:p>
    <w:p>
      <w:pPr>
        <w:pStyle w:val="165"/>
      </w:pPr>
      <w:r>
        <w:rPr>
          <w:rFonts w:hint="eastAsia"/>
        </w:rPr>
        <w:t>食品添加剂使用应采用称量等方式定量使用，应记录食品名称、食品数量、加工时间以及使用的食品添加剂名称、生产日期或批号、使用量、使用人等信息。</w:t>
      </w:r>
    </w:p>
    <w:p>
      <w:pPr>
        <w:pStyle w:val="165"/>
      </w:pPr>
      <w:r>
        <w:rPr>
          <w:rFonts w:hint="eastAsia"/>
        </w:rPr>
        <w:t>食品添加剂应由专人专柜加锁保管。</w:t>
      </w:r>
    </w:p>
    <w:p>
      <w:pPr>
        <w:pStyle w:val="105"/>
        <w:spacing w:before="156" w:after="156"/>
      </w:pPr>
      <w:r>
        <w:rPr>
          <w:rFonts w:hint="eastAsia"/>
        </w:rPr>
        <w:t>供餐食品</w:t>
      </w:r>
    </w:p>
    <w:p>
      <w:pPr>
        <w:pStyle w:val="165"/>
      </w:pPr>
      <w:r>
        <w:rPr>
          <w:rFonts w:hint="eastAsia"/>
        </w:rPr>
        <w:t>分派菜肴的工具使用前应清洗消毒。</w:t>
      </w:r>
    </w:p>
    <w:p>
      <w:pPr>
        <w:pStyle w:val="165"/>
      </w:pPr>
      <w:r>
        <w:rPr>
          <w:rFonts w:hint="eastAsia"/>
        </w:rPr>
        <w:t>烹饪后至食用前需要较长时间（超过2小时）存放的高危易腐食品，应在高于60℃或低于8℃的条件下存放。在8℃～60℃条件下存放超过2小时，且未发生感官性状变化的，应按本规范要求再加热后方可供餐。</w:t>
      </w:r>
    </w:p>
    <w:p>
      <w:pPr>
        <w:pStyle w:val="165"/>
      </w:pPr>
      <w:r>
        <w:rPr>
          <w:rFonts w:hint="eastAsia"/>
        </w:rPr>
        <w:t>宜按照标签标注的温度等条件，供应预包装食品。食品的温度不得超过标签标注的温度+3℃。</w:t>
      </w:r>
    </w:p>
    <w:p>
      <w:pPr>
        <w:pStyle w:val="165"/>
      </w:pPr>
      <w:r>
        <w:rPr>
          <w:rFonts w:hint="eastAsia"/>
        </w:rPr>
        <w:t>供餐过程中，应对食品采取有效防护措施。</w:t>
      </w:r>
    </w:p>
    <w:p>
      <w:pPr>
        <w:pStyle w:val="105"/>
        <w:spacing w:before="156" w:after="156"/>
      </w:pPr>
      <w:r>
        <w:rPr>
          <w:rFonts w:hint="eastAsia"/>
        </w:rPr>
        <w:t>食品留样</w:t>
      </w:r>
    </w:p>
    <w:p>
      <w:pPr>
        <w:pStyle w:val="165"/>
      </w:pPr>
      <w:r>
        <w:rPr>
          <w:rFonts w:hint="eastAsia"/>
        </w:rPr>
        <w:t>每餐次的食品成品应留样，每个品种的留样量应能满足检验检测需要，且不少于125g。</w:t>
      </w:r>
    </w:p>
    <w:p>
      <w:pPr>
        <w:pStyle w:val="165"/>
      </w:pPr>
      <w:r>
        <w:rPr>
          <w:rFonts w:hint="eastAsia"/>
        </w:rPr>
        <w:t>留样食品按照品种分别盛放于清洗消毒后的专用密闭容器内，在专用冷藏设备中冷藏存放48小时以上。</w:t>
      </w:r>
    </w:p>
    <w:p>
      <w:pPr>
        <w:pStyle w:val="165"/>
      </w:pPr>
      <w:r>
        <w:rPr>
          <w:rFonts w:hint="eastAsia"/>
        </w:rPr>
        <w:t>盛放留样食品的容器上应标注留样食品名称、留样时间（月、日、时），或者标注与留样记录相对应的标识。</w:t>
      </w:r>
    </w:p>
    <w:p>
      <w:pPr>
        <w:pStyle w:val="165"/>
      </w:pPr>
      <w:r>
        <w:rPr>
          <w:rFonts w:hint="eastAsia"/>
        </w:rPr>
        <w:t>应由专人管理留样食品、记录留样情况，记录内容包括留样食品名称、留样时间（月、日、时）、留样人员等。</w:t>
      </w:r>
    </w:p>
    <w:p>
      <w:pPr>
        <w:pStyle w:val="104"/>
        <w:spacing w:before="312" w:after="312"/>
      </w:pPr>
      <w:bookmarkStart w:id="71" w:name="_Toc169626194"/>
      <w:r>
        <w:rPr>
          <w:rFonts w:hint="eastAsia"/>
        </w:rPr>
        <w:t>记录</w:t>
      </w:r>
      <w:bookmarkEnd w:id="71"/>
    </w:p>
    <w:p>
      <w:pPr>
        <w:pStyle w:val="162"/>
      </w:pPr>
      <w:r>
        <w:rPr>
          <w:rFonts w:hint="eastAsia"/>
        </w:rPr>
        <w:t>根据食品安全法律、法规、规章的要求，应记录以下信息：从业人员培训考核、进货查验、原料出库、食品安全自查、食品召回、投诉处置、餐厨废弃物处置、食品留样、设施设备清洗维护校验、卫生杀虫剂和杀鼠剂的使用等。如使用食品添加剂，应记录采购与使用相关信息。</w:t>
      </w:r>
    </w:p>
    <w:p>
      <w:pPr>
        <w:pStyle w:val="162"/>
      </w:pPr>
      <w:r>
        <w:rPr>
          <w:rFonts w:hint="eastAsia"/>
        </w:rPr>
        <w:t>应制定各项记录表格，表格的项目齐全，可操作。填写的表格清晰完整，应由执行操作人员和内部检查人员签字。</w:t>
      </w:r>
    </w:p>
    <w:p>
      <w:pPr>
        <w:pStyle w:val="162"/>
      </w:pPr>
      <w:r>
        <w:rPr>
          <w:rFonts w:hint="eastAsia"/>
        </w:rPr>
        <w:t>记录保存期限不少于2年。</w:t>
      </w:r>
    </w:p>
    <w:bookmarkEnd w:id="22"/>
    <w:p>
      <w:pPr>
        <w:pStyle w:val="56"/>
        <w:ind w:firstLine="0" w:firstLineChars="0"/>
        <w:jc w:val="center"/>
      </w:pPr>
      <w:bookmarkStart w:id="72" w:name="BookMark8"/>
      <w:r>
        <w:drawing>
          <wp:inline distT="0" distB="0" distL="0" distR="0">
            <wp:extent cx="1485900" cy="317500"/>
            <wp:effectExtent l="0" t="0" r="0" b="635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6"/>
                    <a:stretch>
                      <a:fillRect/>
                    </a:stretch>
                  </pic:blipFill>
                  <pic:spPr>
                    <a:xfrm>
                      <a:off x="0" y="0"/>
                      <a:ext cx="1485900" cy="317500"/>
                    </a:xfrm>
                    <a:prstGeom prst="rect">
                      <a:avLst/>
                    </a:prstGeom>
                  </pic:spPr>
                </pic:pic>
              </a:graphicData>
            </a:graphic>
          </wp:inline>
        </w:drawing>
      </w:r>
      <w:bookmarkEnd w:id="72"/>
    </w:p>
    <w:sectPr>
      <w:pgSz w:w="11906" w:h="16838"/>
      <w:pgMar w:top="183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1410/T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1410/T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color w:val="auto"/>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113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1" w:cryptProviderType="rsaAES" w:cryptAlgorithmClass="hash" w:cryptAlgorithmType="typeAny" w:cryptAlgorithmSid="14" w:cryptSpinCount="100000" w:hash="6ryDnGnD8XSGyphsbu0t3ngABAyDADqyh/OomPVVmREewds4mBLxSPTLdh4pPKkyLO6qSuTzFd3WfmXWb1f9VA==" w:salt="VzIOByAlHuIUuKLX0NqU4A=="/>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zdiNjMyNzhmNmFjOGIxNjk3Yjg0OGFmMDc3MmUifQ=="/>
  </w:docVars>
  <w:rsids>
    <w:rsidRoot w:val="001A6F3C"/>
    <w:rsid w:val="0000040A"/>
    <w:rsid w:val="00000A94"/>
    <w:rsid w:val="00001972"/>
    <w:rsid w:val="0000199F"/>
    <w:rsid w:val="00001D9A"/>
    <w:rsid w:val="00004308"/>
    <w:rsid w:val="00007B3A"/>
    <w:rsid w:val="000107E0"/>
    <w:rsid w:val="00011FDE"/>
    <w:rsid w:val="00012FFD"/>
    <w:rsid w:val="0001363C"/>
    <w:rsid w:val="00014162"/>
    <w:rsid w:val="00014340"/>
    <w:rsid w:val="00014F38"/>
    <w:rsid w:val="00016A9C"/>
    <w:rsid w:val="00022013"/>
    <w:rsid w:val="00022184"/>
    <w:rsid w:val="00022762"/>
    <w:rsid w:val="000238E0"/>
    <w:rsid w:val="000249DB"/>
    <w:rsid w:val="0002595E"/>
    <w:rsid w:val="00027B51"/>
    <w:rsid w:val="000303C3"/>
    <w:rsid w:val="0003173A"/>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E36"/>
    <w:rsid w:val="000A5930"/>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2F4"/>
    <w:rsid w:val="000F06E1"/>
    <w:rsid w:val="000F0E3C"/>
    <w:rsid w:val="000F13EC"/>
    <w:rsid w:val="000F19D5"/>
    <w:rsid w:val="000F4AEA"/>
    <w:rsid w:val="000F633F"/>
    <w:rsid w:val="000F67E9"/>
    <w:rsid w:val="00104926"/>
    <w:rsid w:val="001139FE"/>
    <w:rsid w:val="00113B1E"/>
    <w:rsid w:val="001158C6"/>
    <w:rsid w:val="0011711C"/>
    <w:rsid w:val="0012059C"/>
    <w:rsid w:val="00124E4F"/>
    <w:rsid w:val="001260B7"/>
    <w:rsid w:val="001265CB"/>
    <w:rsid w:val="001321C6"/>
    <w:rsid w:val="001325C4"/>
    <w:rsid w:val="00133010"/>
    <w:rsid w:val="001338EE"/>
    <w:rsid w:val="00133AAE"/>
    <w:rsid w:val="00135323"/>
    <w:rsid w:val="001353D1"/>
    <w:rsid w:val="001356C4"/>
    <w:rsid w:val="00136399"/>
    <w:rsid w:val="00136432"/>
    <w:rsid w:val="00141114"/>
    <w:rsid w:val="00142969"/>
    <w:rsid w:val="00144124"/>
    <w:rsid w:val="001446C2"/>
    <w:rsid w:val="001457E7"/>
    <w:rsid w:val="00145D9D"/>
    <w:rsid w:val="00146388"/>
    <w:rsid w:val="001529E5"/>
    <w:rsid w:val="00153C7E"/>
    <w:rsid w:val="00156B25"/>
    <w:rsid w:val="00156E1A"/>
    <w:rsid w:val="00157894"/>
    <w:rsid w:val="00157B55"/>
    <w:rsid w:val="00161A9C"/>
    <w:rsid w:val="001642FA"/>
    <w:rsid w:val="001649EB"/>
    <w:rsid w:val="00164BAF"/>
    <w:rsid w:val="00164FA8"/>
    <w:rsid w:val="00165065"/>
    <w:rsid w:val="00165434"/>
    <w:rsid w:val="00165609"/>
    <w:rsid w:val="0016580B"/>
    <w:rsid w:val="00165F49"/>
    <w:rsid w:val="00166B88"/>
    <w:rsid w:val="0016770A"/>
    <w:rsid w:val="00170804"/>
    <w:rsid w:val="001708E9"/>
    <w:rsid w:val="0017340B"/>
    <w:rsid w:val="00173FB1"/>
    <w:rsid w:val="001763E3"/>
    <w:rsid w:val="00176DFD"/>
    <w:rsid w:val="001852C9"/>
    <w:rsid w:val="00190087"/>
    <w:rsid w:val="001913C4"/>
    <w:rsid w:val="0019348F"/>
    <w:rsid w:val="00193A07"/>
    <w:rsid w:val="00194C95"/>
    <w:rsid w:val="00195C34"/>
    <w:rsid w:val="00196EF5"/>
    <w:rsid w:val="001A1A53"/>
    <w:rsid w:val="001A234A"/>
    <w:rsid w:val="001A3005"/>
    <w:rsid w:val="001A4B16"/>
    <w:rsid w:val="001A4CF3"/>
    <w:rsid w:val="001A6F3C"/>
    <w:rsid w:val="001B06E8"/>
    <w:rsid w:val="001B2523"/>
    <w:rsid w:val="001B71D0"/>
    <w:rsid w:val="001B71EE"/>
    <w:rsid w:val="001C04A8"/>
    <w:rsid w:val="001C1A7F"/>
    <w:rsid w:val="001C2C03"/>
    <w:rsid w:val="001C42F7"/>
    <w:rsid w:val="001C49E5"/>
    <w:rsid w:val="001C680C"/>
    <w:rsid w:val="001C681C"/>
    <w:rsid w:val="001C7FEA"/>
    <w:rsid w:val="001D0499"/>
    <w:rsid w:val="001D0BBE"/>
    <w:rsid w:val="001D0ED4"/>
    <w:rsid w:val="001D10CF"/>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69DF"/>
    <w:rsid w:val="001F77C7"/>
    <w:rsid w:val="00200183"/>
    <w:rsid w:val="00200333"/>
    <w:rsid w:val="0020107D"/>
    <w:rsid w:val="00202AA4"/>
    <w:rsid w:val="002031F7"/>
    <w:rsid w:val="002040E6"/>
    <w:rsid w:val="0020527B"/>
    <w:rsid w:val="00205F2C"/>
    <w:rsid w:val="002078AF"/>
    <w:rsid w:val="00210B15"/>
    <w:rsid w:val="00212438"/>
    <w:rsid w:val="002142EA"/>
    <w:rsid w:val="002204BB"/>
    <w:rsid w:val="00220F97"/>
    <w:rsid w:val="00221B79"/>
    <w:rsid w:val="00221C6B"/>
    <w:rsid w:val="0022282F"/>
    <w:rsid w:val="002253A1"/>
    <w:rsid w:val="00225CF8"/>
    <w:rsid w:val="0022794E"/>
    <w:rsid w:val="002336E5"/>
    <w:rsid w:val="00233D64"/>
    <w:rsid w:val="0023482A"/>
    <w:rsid w:val="002359CB"/>
    <w:rsid w:val="00237FD5"/>
    <w:rsid w:val="00243540"/>
    <w:rsid w:val="0024497B"/>
    <w:rsid w:val="0024515B"/>
    <w:rsid w:val="00245547"/>
    <w:rsid w:val="00246021"/>
    <w:rsid w:val="0024666E"/>
    <w:rsid w:val="00247F52"/>
    <w:rsid w:val="00250B25"/>
    <w:rsid w:val="00250BBE"/>
    <w:rsid w:val="002515C2"/>
    <w:rsid w:val="0025194F"/>
    <w:rsid w:val="00256B87"/>
    <w:rsid w:val="0026148A"/>
    <w:rsid w:val="00262696"/>
    <w:rsid w:val="00262D8C"/>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C61"/>
    <w:rsid w:val="00294D34"/>
    <w:rsid w:val="00294E3B"/>
    <w:rsid w:val="00296193"/>
    <w:rsid w:val="00296C66"/>
    <w:rsid w:val="00296EBE"/>
    <w:rsid w:val="002974E3"/>
    <w:rsid w:val="002A084B"/>
    <w:rsid w:val="002A0B86"/>
    <w:rsid w:val="002A1260"/>
    <w:rsid w:val="002A1589"/>
    <w:rsid w:val="002A1608"/>
    <w:rsid w:val="002A24E9"/>
    <w:rsid w:val="002A25DC"/>
    <w:rsid w:val="002A3AAB"/>
    <w:rsid w:val="002A4CEA"/>
    <w:rsid w:val="002A5363"/>
    <w:rsid w:val="002A5977"/>
    <w:rsid w:val="002A5A13"/>
    <w:rsid w:val="002A757F"/>
    <w:rsid w:val="002A7696"/>
    <w:rsid w:val="002A7F44"/>
    <w:rsid w:val="002B0C40"/>
    <w:rsid w:val="002B1966"/>
    <w:rsid w:val="002B3C43"/>
    <w:rsid w:val="002B4098"/>
    <w:rsid w:val="002B4508"/>
    <w:rsid w:val="002B5779"/>
    <w:rsid w:val="002B5F9E"/>
    <w:rsid w:val="002B7332"/>
    <w:rsid w:val="002B7F44"/>
    <w:rsid w:val="002B7F51"/>
    <w:rsid w:val="002C0347"/>
    <w:rsid w:val="002C09E7"/>
    <w:rsid w:val="002C1E06"/>
    <w:rsid w:val="002C1E1C"/>
    <w:rsid w:val="002C3F07"/>
    <w:rsid w:val="002C5278"/>
    <w:rsid w:val="002C5E63"/>
    <w:rsid w:val="002C7EBB"/>
    <w:rsid w:val="002D06C1"/>
    <w:rsid w:val="002D23EA"/>
    <w:rsid w:val="002D42B5"/>
    <w:rsid w:val="002D4F1A"/>
    <w:rsid w:val="002D6C00"/>
    <w:rsid w:val="002D6EC6"/>
    <w:rsid w:val="002D79AC"/>
    <w:rsid w:val="002E039D"/>
    <w:rsid w:val="002E4D5A"/>
    <w:rsid w:val="002E6326"/>
    <w:rsid w:val="002F30E0"/>
    <w:rsid w:val="002F35E4"/>
    <w:rsid w:val="002F3730"/>
    <w:rsid w:val="002F38E1"/>
    <w:rsid w:val="002F7AF6"/>
    <w:rsid w:val="00300E63"/>
    <w:rsid w:val="0030295A"/>
    <w:rsid w:val="00302CD8"/>
    <w:rsid w:val="00302F5F"/>
    <w:rsid w:val="00303C7A"/>
    <w:rsid w:val="0030441D"/>
    <w:rsid w:val="00306063"/>
    <w:rsid w:val="00313B85"/>
    <w:rsid w:val="00317988"/>
    <w:rsid w:val="003221B4"/>
    <w:rsid w:val="0032258D"/>
    <w:rsid w:val="00322E62"/>
    <w:rsid w:val="00324D13"/>
    <w:rsid w:val="00324D2A"/>
    <w:rsid w:val="00324EDD"/>
    <w:rsid w:val="00332441"/>
    <w:rsid w:val="00332C18"/>
    <w:rsid w:val="003331E4"/>
    <w:rsid w:val="00336C64"/>
    <w:rsid w:val="00337162"/>
    <w:rsid w:val="0034194F"/>
    <w:rsid w:val="003432DF"/>
    <w:rsid w:val="00344605"/>
    <w:rsid w:val="003474AA"/>
    <w:rsid w:val="00347668"/>
    <w:rsid w:val="00350D1D"/>
    <w:rsid w:val="00352C83"/>
    <w:rsid w:val="0035324C"/>
    <w:rsid w:val="00357A46"/>
    <w:rsid w:val="003615D2"/>
    <w:rsid w:val="0036429C"/>
    <w:rsid w:val="00364A53"/>
    <w:rsid w:val="003654CB"/>
    <w:rsid w:val="00365AA9"/>
    <w:rsid w:val="00365F86"/>
    <w:rsid w:val="00365F87"/>
    <w:rsid w:val="00366E89"/>
    <w:rsid w:val="003678DC"/>
    <w:rsid w:val="003705F4"/>
    <w:rsid w:val="00370D58"/>
    <w:rsid w:val="00371316"/>
    <w:rsid w:val="003750C4"/>
    <w:rsid w:val="00376713"/>
    <w:rsid w:val="00381815"/>
    <w:rsid w:val="003819AF"/>
    <w:rsid w:val="003820E9"/>
    <w:rsid w:val="00382DE7"/>
    <w:rsid w:val="00382E23"/>
    <w:rsid w:val="0038489F"/>
    <w:rsid w:val="00384FFC"/>
    <w:rsid w:val="003867F9"/>
    <w:rsid w:val="003872FC"/>
    <w:rsid w:val="00387AC7"/>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1FF"/>
    <w:rsid w:val="003D262C"/>
    <w:rsid w:val="003D6D61"/>
    <w:rsid w:val="003E091D"/>
    <w:rsid w:val="003E172E"/>
    <w:rsid w:val="003E1C53"/>
    <w:rsid w:val="003E2A69"/>
    <w:rsid w:val="003E2D49"/>
    <w:rsid w:val="003E2FD4"/>
    <w:rsid w:val="003E49F6"/>
    <w:rsid w:val="003E660F"/>
    <w:rsid w:val="003F0841"/>
    <w:rsid w:val="003F1CAA"/>
    <w:rsid w:val="003F23D3"/>
    <w:rsid w:val="003F3F08"/>
    <w:rsid w:val="003F49F1"/>
    <w:rsid w:val="003F6272"/>
    <w:rsid w:val="00400E72"/>
    <w:rsid w:val="00401400"/>
    <w:rsid w:val="00404869"/>
    <w:rsid w:val="00405884"/>
    <w:rsid w:val="00407D39"/>
    <w:rsid w:val="00411F8F"/>
    <w:rsid w:val="0041477A"/>
    <w:rsid w:val="004167A3"/>
    <w:rsid w:val="00416FEA"/>
    <w:rsid w:val="00426BF6"/>
    <w:rsid w:val="00432DAA"/>
    <w:rsid w:val="0043339E"/>
    <w:rsid w:val="00434305"/>
    <w:rsid w:val="00435DF7"/>
    <w:rsid w:val="0044004F"/>
    <w:rsid w:val="0044083F"/>
    <w:rsid w:val="00441A58"/>
    <w:rsid w:val="00441AE7"/>
    <w:rsid w:val="004452D3"/>
    <w:rsid w:val="00445574"/>
    <w:rsid w:val="004467FB"/>
    <w:rsid w:val="004508B4"/>
    <w:rsid w:val="00452D6B"/>
    <w:rsid w:val="00454484"/>
    <w:rsid w:val="0045517B"/>
    <w:rsid w:val="00456A61"/>
    <w:rsid w:val="00463B77"/>
    <w:rsid w:val="00463C7B"/>
    <w:rsid w:val="004644A6"/>
    <w:rsid w:val="004659BD"/>
    <w:rsid w:val="00467C60"/>
    <w:rsid w:val="00470775"/>
    <w:rsid w:val="004727C1"/>
    <w:rsid w:val="0047379B"/>
    <w:rsid w:val="00474416"/>
    <w:rsid w:val="004746B1"/>
    <w:rsid w:val="0047583F"/>
    <w:rsid w:val="00475DE8"/>
    <w:rsid w:val="00481C44"/>
    <w:rsid w:val="00484936"/>
    <w:rsid w:val="00485C89"/>
    <w:rsid w:val="004866E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865"/>
    <w:rsid w:val="004C1FBC"/>
    <w:rsid w:val="004C3F1D"/>
    <w:rsid w:val="004C458D"/>
    <w:rsid w:val="004C6748"/>
    <w:rsid w:val="004C7450"/>
    <w:rsid w:val="004C7556"/>
    <w:rsid w:val="004C7E8B"/>
    <w:rsid w:val="004C7E9D"/>
    <w:rsid w:val="004C7F67"/>
    <w:rsid w:val="004D02B9"/>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1A9"/>
    <w:rsid w:val="0050363E"/>
    <w:rsid w:val="005039BC"/>
    <w:rsid w:val="005043BB"/>
    <w:rsid w:val="00504A3D"/>
    <w:rsid w:val="00505767"/>
    <w:rsid w:val="005073F0"/>
    <w:rsid w:val="00510A7B"/>
    <w:rsid w:val="00512F6E"/>
    <w:rsid w:val="00513038"/>
    <w:rsid w:val="00514174"/>
    <w:rsid w:val="00516088"/>
    <w:rsid w:val="00516B0B"/>
    <w:rsid w:val="00517272"/>
    <w:rsid w:val="005220EC"/>
    <w:rsid w:val="00523F95"/>
    <w:rsid w:val="00524D65"/>
    <w:rsid w:val="0052582B"/>
    <w:rsid w:val="00525B16"/>
    <w:rsid w:val="00531414"/>
    <w:rsid w:val="0053146A"/>
    <w:rsid w:val="00533D04"/>
    <w:rsid w:val="00534804"/>
    <w:rsid w:val="00534BDF"/>
    <w:rsid w:val="005354EA"/>
    <w:rsid w:val="0053585F"/>
    <w:rsid w:val="00535EC4"/>
    <w:rsid w:val="00535ED9"/>
    <w:rsid w:val="0053692B"/>
    <w:rsid w:val="00541853"/>
    <w:rsid w:val="00543775"/>
    <w:rsid w:val="00543BDA"/>
    <w:rsid w:val="005441CC"/>
    <w:rsid w:val="005479DA"/>
    <w:rsid w:val="00547BCC"/>
    <w:rsid w:val="0055013B"/>
    <w:rsid w:val="00550527"/>
    <w:rsid w:val="00551F6F"/>
    <w:rsid w:val="0055229F"/>
    <w:rsid w:val="00555044"/>
    <w:rsid w:val="00561475"/>
    <w:rsid w:val="0056487B"/>
    <w:rsid w:val="00564FB9"/>
    <w:rsid w:val="00573D9E"/>
    <w:rsid w:val="005801E3"/>
    <w:rsid w:val="00581802"/>
    <w:rsid w:val="005836A8"/>
    <w:rsid w:val="0058409C"/>
    <w:rsid w:val="00584262"/>
    <w:rsid w:val="00586630"/>
    <w:rsid w:val="00586FE6"/>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E66"/>
    <w:rsid w:val="005C29B8"/>
    <w:rsid w:val="005C5F21"/>
    <w:rsid w:val="005C7156"/>
    <w:rsid w:val="005D0C75"/>
    <w:rsid w:val="005D4171"/>
    <w:rsid w:val="005D6A48"/>
    <w:rsid w:val="005D6A95"/>
    <w:rsid w:val="005D6B2C"/>
    <w:rsid w:val="005D6D9C"/>
    <w:rsid w:val="005E2335"/>
    <w:rsid w:val="005E34CA"/>
    <w:rsid w:val="005E3C18"/>
    <w:rsid w:val="005E67A5"/>
    <w:rsid w:val="005E6812"/>
    <w:rsid w:val="005E7881"/>
    <w:rsid w:val="005E78E0"/>
    <w:rsid w:val="005F0D9C"/>
    <w:rsid w:val="005F284E"/>
    <w:rsid w:val="005F4712"/>
    <w:rsid w:val="006015CE"/>
    <w:rsid w:val="00604784"/>
    <w:rsid w:val="00604D3C"/>
    <w:rsid w:val="00606419"/>
    <w:rsid w:val="00607BE9"/>
    <w:rsid w:val="00607D29"/>
    <w:rsid w:val="0061113B"/>
    <w:rsid w:val="00612952"/>
    <w:rsid w:val="00614CC1"/>
    <w:rsid w:val="00615A9D"/>
    <w:rsid w:val="00617387"/>
    <w:rsid w:val="006205D6"/>
    <w:rsid w:val="006252D8"/>
    <w:rsid w:val="006259BC"/>
    <w:rsid w:val="0062636B"/>
    <w:rsid w:val="00627653"/>
    <w:rsid w:val="00632182"/>
    <w:rsid w:val="00632AE0"/>
    <w:rsid w:val="00633C17"/>
    <w:rsid w:val="00634D9E"/>
    <w:rsid w:val="00636E3E"/>
    <w:rsid w:val="006379F7"/>
    <w:rsid w:val="00637E4D"/>
    <w:rsid w:val="00640620"/>
    <w:rsid w:val="00641A1F"/>
    <w:rsid w:val="00645904"/>
    <w:rsid w:val="00651ACB"/>
    <w:rsid w:val="00651C47"/>
    <w:rsid w:val="00652107"/>
    <w:rsid w:val="00652658"/>
    <w:rsid w:val="006527B6"/>
    <w:rsid w:val="00652AB2"/>
    <w:rsid w:val="00653FED"/>
    <w:rsid w:val="00654EC0"/>
    <w:rsid w:val="0065525B"/>
    <w:rsid w:val="00655D4F"/>
    <w:rsid w:val="00656D29"/>
    <w:rsid w:val="006611C2"/>
    <w:rsid w:val="006640E5"/>
    <w:rsid w:val="006646F1"/>
    <w:rsid w:val="00664929"/>
    <w:rsid w:val="00664F62"/>
    <w:rsid w:val="006655E1"/>
    <w:rsid w:val="00667488"/>
    <w:rsid w:val="00672060"/>
    <w:rsid w:val="00672BFD"/>
    <w:rsid w:val="00672DBD"/>
    <w:rsid w:val="006770F4"/>
    <w:rsid w:val="00677A84"/>
    <w:rsid w:val="0068026D"/>
    <w:rsid w:val="00680A27"/>
    <w:rsid w:val="006816A4"/>
    <w:rsid w:val="006819B8"/>
    <w:rsid w:val="006840A6"/>
    <w:rsid w:val="006850CD"/>
    <w:rsid w:val="00685AAB"/>
    <w:rsid w:val="0069070B"/>
    <w:rsid w:val="00695D22"/>
    <w:rsid w:val="006A07AA"/>
    <w:rsid w:val="006A25E5"/>
    <w:rsid w:val="006A2B46"/>
    <w:rsid w:val="006A336D"/>
    <w:rsid w:val="006A37B9"/>
    <w:rsid w:val="006B2672"/>
    <w:rsid w:val="006B4478"/>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BC6"/>
    <w:rsid w:val="006E23EA"/>
    <w:rsid w:val="006F03A8"/>
    <w:rsid w:val="006F2ACA"/>
    <w:rsid w:val="006F2ADC"/>
    <w:rsid w:val="006F2BFE"/>
    <w:rsid w:val="006F31E9"/>
    <w:rsid w:val="006F33E2"/>
    <w:rsid w:val="006F6284"/>
    <w:rsid w:val="006F6C65"/>
    <w:rsid w:val="007002C5"/>
    <w:rsid w:val="00704387"/>
    <w:rsid w:val="00707669"/>
    <w:rsid w:val="00707BC5"/>
    <w:rsid w:val="007102A5"/>
    <w:rsid w:val="00710375"/>
    <w:rsid w:val="00711CBA"/>
    <w:rsid w:val="00711FB5"/>
    <w:rsid w:val="00712A01"/>
    <w:rsid w:val="00714F58"/>
    <w:rsid w:val="00715FA1"/>
    <w:rsid w:val="00720747"/>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F46"/>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7F0"/>
    <w:rsid w:val="00783ECF"/>
    <w:rsid w:val="0078413A"/>
    <w:rsid w:val="00786575"/>
    <w:rsid w:val="00790903"/>
    <w:rsid w:val="007959E8"/>
    <w:rsid w:val="00795E9C"/>
    <w:rsid w:val="007A0521"/>
    <w:rsid w:val="007A2526"/>
    <w:rsid w:val="007A2AD6"/>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47E"/>
    <w:rsid w:val="007D2508"/>
    <w:rsid w:val="007D346A"/>
    <w:rsid w:val="007D6518"/>
    <w:rsid w:val="007D76BD"/>
    <w:rsid w:val="007D7C94"/>
    <w:rsid w:val="007E0BF1"/>
    <w:rsid w:val="007E36BF"/>
    <w:rsid w:val="007E4CA5"/>
    <w:rsid w:val="007F0549"/>
    <w:rsid w:val="007F06BB"/>
    <w:rsid w:val="007F0ED8"/>
    <w:rsid w:val="007F0F63"/>
    <w:rsid w:val="007F5700"/>
    <w:rsid w:val="007F58E3"/>
    <w:rsid w:val="007F75CE"/>
    <w:rsid w:val="007F78CB"/>
    <w:rsid w:val="008003C0"/>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EBA"/>
    <w:rsid w:val="00823303"/>
    <w:rsid w:val="008233B2"/>
    <w:rsid w:val="00823A9F"/>
    <w:rsid w:val="00823C85"/>
    <w:rsid w:val="00825138"/>
    <w:rsid w:val="008269DD"/>
    <w:rsid w:val="00827CB7"/>
    <w:rsid w:val="00830621"/>
    <w:rsid w:val="00831ADE"/>
    <w:rsid w:val="0083348C"/>
    <w:rsid w:val="00835F2C"/>
    <w:rsid w:val="008373D3"/>
    <w:rsid w:val="00840617"/>
    <w:rsid w:val="00840F84"/>
    <w:rsid w:val="00842A47"/>
    <w:rsid w:val="00843C13"/>
    <w:rsid w:val="008454F8"/>
    <w:rsid w:val="0085161C"/>
    <w:rsid w:val="0085173A"/>
    <w:rsid w:val="008518F9"/>
    <w:rsid w:val="00855F13"/>
    <w:rsid w:val="00856316"/>
    <w:rsid w:val="008567E4"/>
    <w:rsid w:val="008603CE"/>
    <w:rsid w:val="008620FC"/>
    <w:rsid w:val="008627A5"/>
    <w:rsid w:val="008637EE"/>
    <w:rsid w:val="00863E05"/>
    <w:rsid w:val="00865ACA"/>
    <w:rsid w:val="00865D28"/>
    <w:rsid w:val="00865F85"/>
    <w:rsid w:val="00867C10"/>
    <w:rsid w:val="00870439"/>
    <w:rsid w:val="00870DA1"/>
    <w:rsid w:val="008714CC"/>
    <w:rsid w:val="0087276C"/>
    <w:rsid w:val="00872CB5"/>
    <w:rsid w:val="00883F93"/>
    <w:rsid w:val="00884780"/>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D2C"/>
    <w:rsid w:val="008A6F81"/>
    <w:rsid w:val="008A769A"/>
    <w:rsid w:val="008B0951"/>
    <w:rsid w:val="008B0C9C"/>
    <w:rsid w:val="008B166D"/>
    <w:rsid w:val="008B17F4"/>
    <w:rsid w:val="008B3615"/>
    <w:rsid w:val="008B4AC4"/>
    <w:rsid w:val="008B50C8"/>
    <w:rsid w:val="008B5281"/>
    <w:rsid w:val="008B7E05"/>
    <w:rsid w:val="008C1797"/>
    <w:rsid w:val="008C219C"/>
    <w:rsid w:val="008C475E"/>
    <w:rsid w:val="008C4C2A"/>
    <w:rsid w:val="008C619A"/>
    <w:rsid w:val="008D0CE8"/>
    <w:rsid w:val="008D2D1D"/>
    <w:rsid w:val="008D362F"/>
    <w:rsid w:val="008D453D"/>
    <w:rsid w:val="008D53AD"/>
    <w:rsid w:val="008D562B"/>
    <w:rsid w:val="008D5733"/>
    <w:rsid w:val="008D622B"/>
    <w:rsid w:val="008D666C"/>
    <w:rsid w:val="008D7B54"/>
    <w:rsid w:val="008E0C9D"/>
    <w:rsid w:val="008E1648"/>
    <w:rsid w:val="008E1B3E"/>
    <w:rsid w:val="008E2059"/>
    <w:rsid w:val="008E2319"/>
    <w:rsid w:val="008E4BB6"/>
    <w:rsid w:val="008E5518"/>
    <w:rsid w:val="008E6031"/>
    <w:rsid w:val="008E6A84"/>
    <w:rsid w:val="008F0CDC"/>
    <w:rsid w:val="008F17A3"/>
    <w:rsid w:val="008F1ED3"/>
    <w:rsid w:val="008F23A5"/>
    <w:rsid w:val="008F4C29"/>
    <w:rsid w:val="008F521D"/>
    <w:rsid w:val="008F70BD"/>
    <w:rsid w:val="008F788F"/>
    <w:rsid w:val="008F7EA2"/>
    <w:rsid w:val="00902722"/>
    <w:rsid w:val="009027BC"/>
    <w:rsid w:val="009062E6"/>
    <w:rsid w:val="0091015A"/>
    <w:rsid w:val="00911BE5"/>
    <w:rsid w:val="00913CA9"/>
    <w:rsid w:val="009145AE"/>
    <w:rsid w:val="009146CE"/>
    <w:rsid w:val="00914CA7"/>
    <w:rsid w:val="00915C3E"/>
    <w:rsid w:val="009161A8"/>
    <w:rsid w:val="00920814"/>
    <w:rsid w:val="009245F5"/>
    <w:rsid w:val="009249EC"/>
    <w:rsid w:val="009273B3"/>
    <w:rsid w:val="009305B5"/>
    <w:rsid w:val="009429D5"/>
    <w:rsid w:val="00942BF1"/>
    <w:rsid w:val="00945180"/>
    <w:rsid w:val="00945428"/>
    <w:rsid w:val="0094607B"/>
    <w:rsid w:val="00953604"/>
    <w:rsid w:val="00953BB9"/>
    <w:rsid w:val="0095496B"/>
    <w:rsid w:val="009610DC"/>
    <w:rsid w:val="00961490"/>
    <w:rsid w:val="0096381A"/>
    <w:rsid w:val="00965E04"/>
    <w:rsid w:val="009674AD"/>
    <w:rsid w:val="00970CDC"/>
    <w:rsid w:val="00973A96"/>
    <w:rsid w:val="009769F9"/>
    <w:rsid w:val="00977010"/>
    <w:rsid w:val="00977D02"/>
    <w:rsid w:val="009809BB"/>
    <w:rsid w:val="0098364B"/>
    <w:rsid w:val="00986B91"/>
    <w:rsid w:val="009911AF"/>
    <w:rsid w:val="00991875"/>
    <w:rsid w:val="00991F92"/>
    <w:rsid w:val="00991FC1"/>
    <w:rsid w:val="00992985"/>
    <w:rsid w:val="00993307"/>
    <w:rsid w:val="00993889"/>
    <w:rsid w:val="00994B76"/>
    <w:rsid w:val="0099551B"/>
    <w:rsid w:val="00997BF1"/>
    <w:rsid w:val="009A089C"/>
    <w:rsid w:val="009A118E"/>
    <w:rsid w:val="009A21CD"/>
    <w:rsid w:val="009A278C"/>
    <w:rsid w:val="009A2BC2"/>
    <w:rsid w:val="009A42C1"/>
    <w:rsid w:val="009A5429"/>
    <w:rsid w:val="009A72AD"/>
    <w:rsid w:val="009B09E0"/>
    <w:rsid w:val="009B0BC5"/>
    <w:rsid w:val="009B0E77"/>
    <w:rsid w:val="009B1247"/>
    <w:rsid w:val="009B40B0"/>
    <w:rsid w:val="009B6029"/>
    <w:rsid w:val="009B6971"/>
    <w:rsid w:val="009C27F1"/>
    <w:rsid w:val="009C3152"/>
    <w:rsid w:val="009C4CFA"/>
    <w:rsid w:val="009C5070"/>
    <w:rsid w:val="009C7A71"/>
    <w:rsid w:val="009D112C"/>
    <w:rsid w:val="009D3111"/>
    <w:rsid w:val="009D47FA"/>
    <w:rsid w:val="009D4C5B"/>
    <w:rsid w:val="009D50D2"/>
    <w:rsid w:val="009D6BCA"/>
    <w:rsid w:val="009E0F62"/>
    <w:rsid w:val="009E167C"/>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424"/>
    <w:rsid w:val="00A169B6"/>
    <w:rsid w:val="00A2271D"/>
    <w:rsid w:val="00A237D5"/>
    <w:rsid w:val="00A25AF2"/>
    <w:rsid w:val="00A25F6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B98"/>
    <w:rsid w:val="00A4661E"/>
    <w:rsid w:val="00A50FB4"/>
    <w:rsid w:val="00A55BD6"/>
    <w:rsid w:val="00A55D50"/>
    <w:rsid w:val="00A57142"/>
    <w:rsid w:val="00A641E9"/>
    <w:rsid w:val="00A648CD"/>
    <w:rsid w:val="00A6537A"/>
    <w:rsid w:val="00A6623A"/>
    <w:rsid w:val="00A67866"/>
    <w:rsid w:val="00A67A0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10FA"/>
    <w:rsid w:val="00AC27A6"/>
    <w:rsid w:val="00AC30F7"/>
    <w:rsid w:val="00AC3A5A"/>
    <w:rsid w:val="00AC4D95"/>
    <w:rsid w:val="00AC5DF4"/>
    <w:rsid w:val="00AD0AEF"/>
    <w:rsid w:val="00AD11B7"/>
    <w:rsid w:val="00AD1A94"/>
    <w:rsid w:val="00AD1C05"/>
    <w:rsid w:val="00AD293C"/>
    <w:rsid w:val="00AD3DF2"/>
    <w:rsid w:val="00AD4126"/>
    <w:rsid w:val="00AD421C"/>
    <w:rsid w:val="00AD424F"/>
    <w:rsid w:val="00AD44FA"/>
    <w:rsid w:val="00AE070A"/>
    <w:rsid w:val="00AE101C"/>
    <w:rsid w:val="00AE37E5"/>
    <w:rsid w:val="00AE5EB4"/>
    <w:rsid w:val="00AF0C18"/>
    <w:rsid w:val="00AF47C5"/>
    <w:rsid w:val="00AF5136"/>
    <w:rsid w:val="00AF5398"/>
    <w:rsid w:val="00B049AF"/>
    <w:rsid w:val="00B07242"/>
    <w:rsid w:val="00B10534"/>
    <w:rsid w:val="00B113DB"/>
    <w:rsid w:val="00B11D8A"/>
    <w:rsid w:val="00B12981"/>
    <w:rsid w:val="00B147DD"/>
    <w:rsid w:val="00B156FD"/>
    <w:rsid w:val="00B21F61"/>
    <w:rsid w:val="00B24226"/>
    <w:rsid w:val="00B261F1"/>
    <w:rsid w:val="00B265BC"/>
    <w:rsid w:val="00B31FB1"/>
    <w:rsid w:val="00B33183"/>
    <w:rsid w:val="00B33952"/>
    <w:rsid w:val="00B33C5E"/>
    <w:rsid w:val="00B342F4"/>
    <w:rsid w:val="00B34369"/>
    <w:rsid w:val="00B34DC2"/>
    <w:rsid w:val="00B377C6"/>
    <w:rsid w:val="00B378E5"/>
    <w:rsid w:val="00B4346D"/>
    <w:rsid w:val="00B440F4"/>
    <w:rsid w:val="00B447A5"/>
    <w:rsid w:val="00B4654C"/>
    <w:rsid w:val="00B47293"/>
    <w:rsid w:val="00B50E50"/>
    <w:rsid w:val="00B51C87"/>
    <w:rsid w:val="00B52120"/>
    <w:rsid w:val="00B54ABC"/>
    <w:rsid w:val="00B54DDE"/>
    <w:rsid w:val="00B56FBE"/>
    <w:rsid w:val="00B60ACF"/>
    <w:rsid w:val="00B62B58"/>
    <w:rsid w:val="00B65149"/>
    <w:rsid w:val="00B66567"/>
    <w:rsid w:val="00B666C0"/>
    <w:rsid w:val="00B66F52"/>
    <w:rsid w:val="00B66FE5"/>
    <w:rsid w:val="00B72880"/>
    <w:rsid w:val="00B758BF"/>
    <w:rsid w:val="00B77EC8"/>
    <w:rsid w:val="00B827A6"/>
    <w:rsid w:val="00B831CE"/>
    <w:rsid w:val="00B86677"/>
    <w:rsid w:val="00B87131"/>
    <w:rsid w:val="00B918D1"/>
    <w:rsid w:val="00B939B1"/>
    <w:rsid w:val="00B96D40"/>
    <w:rsid w:val="00B97386"/>
    <w:rsid w:val="00BA263B"/>
    <w:rsid w:val="00BA34B5"/>
    <w:rsid w:val="00BA42B2"/>
    <w:rsid w:val="00BA58D4"/>
    <w:rsid w:val="00BA5B9E"/>
    <w:rsid w:val="00BA7C9A"/>
    <w:rsid w:val="00BB2D9D"/>
    <w:rsid w:val="00BB5BA8"/>
    <w:rsid w:val="00BB5F8F"/>
    <w:rsid w:val="00BB657A"/>
    <w:rsid w:val="00BC1152"/>
    <w:rsid w:val="00BC1A4E"/>
    <w:rsid w:val="00BC3C3E"/>
    <w:rsid w:val="00BC5093"/>
    <w:rsid w:val="00BC588D"/>
    <w:rsid w:val="00BC5DC7"/>
    <w:rsid w:val="00BC6B8B"/>
    <w:rsid w:val="00BC73D8"/>
    <w:rsid w:val="00BD52D7"/>
    <w:rsid w:val="00BD5AD2"/>
    <w:rsid w:val="00BD6365"/>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171"/>
    <w:rsid w:val="00C21540"/>
    <w:rsid w:val="00C21906"/>
    <w:rsid w:val="00C21BFA"/>
    <w:rsid w:val="00C22148"/>
    <w:rsid w:val="00C24C8D"/>
    <w:rsid w:val="00C25FE2"/>
    <w:rsid w:val="00C26B53"/>
    <w:rsid w:val="00C279B2"/>
    <w:rsid w:val="00C33E50"/>
    <w:rsid w:val="00C34C20"/>
    <w:rsid w:val="00C35A3E"/>
    <w:rsid w:val="00C42130"/>
    <w:rsid w:val="00C423A4"/>
    <w:rsid w:val="00C439B2"/>
    <w:rsid w:val="00C44BF5"/>
    <w:rsid w:val="00C4706A"/>
    <w:rsid w:val="00C521D6"/>
    <w:rsid w:val="00C55232"/>
    <w:rsid w:val="00C553A4"/>
    <w:rsid w:val="00C55A06"/>
    <w:rsid w:val="00C55D03"/>
    <w:rsid w:val="00C601BC"/>
    <w:rsid w:val="00C6329F"/>
    <w:rsid w:val="00C63340"/>
    <w:rsid w:val="00C643F9"/>
    <w:rsid w:val="00C64E95"/>
    <w:rsid w:val="00C66EDD"/>
    <w:rsid w:val="00C71372"/>
    <w:rsid w:val="00C72410"/>
    <w:rsid w:val="00C7287F"/>
    <w:rsid w:val="00C778F4"/>
    <w:rsid w:val="00C80CB8"/>
    <w:rsid w:val="00C818E7"/>
    <w:rsid w:val="00C819F8"/>
    <w:rsid w:val="00C8248C"/>
    <w:rsid w:val="00C849D5"/>
    <w:rsid w:val="00C84E33"/>
    <w:rsid w:val="00C86D6F"/>
    <w:rsid w:val="00C8758C"/>
    <w:rsid w:val="00C905FC"/>
    <w:rsid w:val="00C90E6E"/>
    <w:rsid w:val="00C92D03"/>
    <w:rsid w:val="00C9319C"/>
    <w:rsid w:val="00C9435D"/>
    <w:rsid w:val="00C94DF2"/>
    <w:rsid w:val="00C96741"/>
    <w:rsid w:val="00CA2D1B"/>
    <w:rsid w:val="00CA33CE"/>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E36"/>
    <w:rsid w:val="00CC4AC8"/>
    <w:rsid w:val="00CC5233"/>
    <w:rsid w:val="00CC5DE6"/>
    <w:rsid w:val="00CC5FDB"/>
    <w:rsid w:val="00CC6E4E"/>
    <w:rsid w:val="00CC6FE8"/>
    <w:rsid w:val="00CC7202"/>
    <w:rsid w:val="00CD2808"/>
    <w:rsid w:val="00CD28BF"/>
    <w:rsid w:val="00CD4092"/>
    <w:rsid w:val="00CD4A20"/>
    <w:rsid w:val="00CD50A1"/>
    <w:rsid w:val="00CD519E"/>
    <w:rsid w:val="00CD6A8F"/>
    <w:rsid w:val="00CE0C4F"/>
    <w:rsid w:val="00CE2ED9"/>
    <w:rsid w:val="00CE30EA"/>
    <w:rsid w:val="00CF048A"/>
    <w:rsid w:val="00CF155A"/>
    <w:rsid w:val="00CF2947"/>
    <w:rsid w:val="00CF686F"/>
    <w:rsid w:val="00CF6E60"/>
    <w:rsid w:val="00CF7BCA"/>
    <w:rsid w:val="00D008FD"/>
    <w:rsid w:val="00D0321C"/>
    <w:rsid w:val="00D035EC"/>
    <w:rsid w:val="00D03F12"/>
    <w:rsid w:val="00D04A17"/>
    <w:rsid w:val="00D06AB1"/>
    <w:rsid w:val="00D072ED"/>
    <w:rsid w:val="00D07A16"/>
    <w:rsid w:val="00D1067E"/>
    <w:rsid w:val="00D10F50"/>
    <w:rsid w:val="00D11272"/>
    <w:rsid w:val="00D126F5"/>
    <w:rsid w:val="00D1489E"/>
    <w:rsid w:val="00D1602C"/>
    <w:rsid w:val="00D20737"/>
    <w:rsid w:val="00D21E81"/>
    <w:rsid w:val="00D223DE"/>
    <w:rsid w:val="00D24A70"/>
    <w:rsid w:val="00D25E37"/>
    <w:rsid w:val="00D2661A"/>
    <w:rsid w:val="00D27582"/>
    <w:rsid w:val="00D27EC4"/>
    <w:rsid w:val="00D32719"/>
    <w:rsid w:val="00D33333"/>
    <w:rsid w:val="00D33457"/>
    <w:rsid w:val="00D352A2"/>
    <w:rsid w:val="00D40089"/>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0BB"/>
    <w:rsid w:val="00D86DB7"/>
    <w:rsid w:val="00D908CA"/>
    <w:rsid w:val="00D926D0"/>
    <w:rsid w:val="00D93030"/>
    <w:rsid w:val="00D93301"/>
    <w:rsid w:val="00D950E1"/>
    <w:rsid w:val="00D952A6"/>
    <w:rsid w:val="00D97F99"/>
    <w:rsid w:val="00DA1E08"/>
    <w:rsid w:val="00DA24F8"/>
    <w:rsid w:val="00DA28E8"/>
    <w:rsid w:val="00DA38D3"/>
    <w:rsid w:val="00DA3932"/>
    <w:rsid w:val="00DA3AFC"/>
    <w:rsid w:val="00DA42E7"/>
    <w:rsid w:val="00DA64F8"/>
    <w:rsid w:val="00DA6C15"/>
    <w:rsid w:val="00DB0258"/>
    <w:rsid w:val="00DB38EE"/>
    <w:rsid w:val="00DB498B"/>
    <w:rsid w:val="00DB66CA"/>
    <w:rsid w:val="00DB6BCA"/>
    <w:rsid w:val="00DB73F7"/>
    <w:rsid w:val="00DC0321"/>
    <w:rsid w:val="00DC3067"/>
    <w:rsid w:val="00DC370B"/>
    <w:rsid w:val="00DC5B90"/>
    <w:rsid w:val="00DC6F74"/>
    <w:rsid w:val="00DD00FF"/>
    <w:rsid w:val="00DD057D"/>
    <w:rsid w:val="00DD0619"/>
    <w:rsid w:val="00DD07FB"/>
    <w:rsid w:val="00DD25C6"/>
    <w:rsid w:val="00DD4FE5"/>
    <w:rsid w:val="00DD54B0"/>
    <w:rsid w:val="00DD57EE"/>
    <w:rsid w:val="00DD6BCC"/>
    <w:rsid w:val="00DE0A4B"/>
    <w:rsid w:val="00DE2410"/>
    <w:rsid w:val="00DE2939"/>
    <w:rsid w:val="00DE3FC2"/>
    <w:rsid w:val="00DE6E81"/>
    <w:rsid w:val="00DE703F"/>
    <w:rsid w:val="00DE7595"/>
    <w:rsid w:val="00DF1961"/>
    <w:rsid w:val="00DF29C3"/>
    <w:rsid w:val="00DF44DE"/>
    <w:rsid w:val="00DF5F11"/>
    <w:rsid w:val="00E01136"/>
    <w:rsid w:val="00E01138"/>
    <w:rsid w:val="00E02DFB"/>
    <w:rsid w:val="00E030F9"/>
    <w:rsid w:val="00E0311A"/>
    <w:rsid w:val="00E03138"/>
    <w:rsid w:val="00E06404"/>
    <w:rsid w:val="00E11A85"/>
    <w:rsid w:val="00E12495"/>
    <w:rsid w:val="00E15CCD"/>
    <w:rsid w:val="00E202EF"/>
    <w:rsid w:val="00E210B5"/>
    <w:rsid w:val="00E23D99"/>
    <w:rsid w:val="00E24DDF"/>
    <w:rsid w:val="00E2552F"/>
    <w:rsid w:val="00E268F2"/>
    <w:rsid w:val="00E30684"/>
    <w:rsid w:val="00E3137A"/>
    <w:rsid w:val="00E31E69"/>
    <w:rsid w:val="00E32CCF"/>
    <w:rsid w:val="00E34A98"/>
    <w:rsid w:val="00E35D1E"/>
    <w:rsid w:val="00E364F9"/>
    <w:rsid w:val="00E365FA"/>
    <w:rsid w:val="00E36789"/>
    <w:rsid w:val="00E3740C"/>
    <w:rsid w:val="00E37B5F"/>
    <w:rsid w:val="00E44A83"/>
    <w:rsid w:val="00E502C1"/>
    <w:rsid w:val="00E502DD"/>
    <w:rsid w:val="00E50D3A"/>
    <w:rsid w:val="00E51387"/>
    <w:rsid w:val="00E51E68"/>
    <w:rsid w:val="00E52EFD"/>
    <w:rsid w:val="00E5408A"/>
    <w:rsid w:val="00E56800"/>
    <w:rsid w:val="00E60C63"/>
    <w:rsid w:val="00E62FF9"/>
    <w:rsid w:val="00E635D6"/>
    <w:rsid w:val="00E639BC"/>
    <w:rsid w:val="00E64F1E"/>
    <w:rsid w:val="00E664CC"/>
    <w:rsid w:val="00E70388"/>
    <w:rsid w:val="00E70F92"/>
    <w:rsid w:val="00E73098"/>
    <w:rsid w:val="00E74C54"/>
    <w:rsid w:val="00E77A03"/>
    <w:rsid w:val="00E822E8"/>
    <w:rsid w:val="00E82554"/>
    <w:rsid w:val="00E82606"/>
    <w:rsid w:val="00E82E5D"/>
    <w:rsid w:val="00E846C8"/>
    <w:rsid w:val="00E848C4"/>
    <w:rsid w:val="00E84957"/>
    <w:rsid w:val="00E84A55"/>
    <w:rsid w:val="00E85BFF"/>
    <w:rsid w:val="00E90391"/>
    <w:rsid w:val="00E906C2"/>
    <w:rsid w:val="00E9311F"/>
    <w:rsid w:val="00E93207"/>
    <w:rsid w:val="00E934D1"/>
    <w:rsid w:val="00E94AF0"/>
    <w:rsid w:val="00E95D13"/>
    <w:rsid w:val="00E95DD3"/>
    <w:rsid w:val="00E969D5"/>
    <w:rsid w:val="00EA2E08"/>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68D4"/>
    <w:rsid w:val="00EE7295"/>
    <w:rsid w:val="00EE7869"/>
    <w:rsid w:val="00EF054A"/>
    <w:rsid w:val="00EF3235"/>
    <w:rsid w:val="00EF7E72"/>
    <w:rsid w:val="00F06D37"/>
    <w:rsid w:val="00F07B9D"/>
    <w:rsid w:val="00F11586"/>
    <w:rsid w:val="00F1183B"/>
    <w:rsid w:val="00F11C9F"/>
    <w:rsid w:val="00F12263"/>
    <w:rsid w:val="00F1409D"/>
    <w:rsid w:val="00F14214"/>
    <w:rsid w:val="00F14FDC"/>
    <w:rsid w:val="00F157A9"/>
    <w:rsid w:val="00F21821"/>
    <w:rsid w:val="00F21B3F"/>
    <w:rsid w:val="00F25BB6"/>
    <w:rsid w:val="00F26A5A"/>
    <w:rsid w:val="00F26B7E"/>
    <w:rsid w:val="00F270C8"/>
    <w:rsid w:val="00F27A3B"/>
    <w:rsid w:val="00F33817"/>
    <w:rsid w:val="00F420D5"/>
    <w:rsid w:val="00F451EA"/>
    <w:rsid w:val="00F45447"/>
    <w:rsid w:val="00F456C6"/>
    <w:rsid w:val="00F4577B"/>
    <w:rsid w:val="00F46496"/>
    <w:rsid w:val="00F474D0"/>
    <w:rsid w:val="00F50179"/>
    <w:rsid w:val="00F515EE"/>
    <w:rsid w:val="00F54AF1"/>
    <w:rsid w:val="00F56511"/>
    <w:rsid w:val="00F6194E"/>
    <w:rsid w:val="00F623AC"/>
    <w:rsid w:val="00F63B4B"/>
    <w:rsid w:val="00F6412A"/>
    <w:rsid w:val="00F65893"/>
    <w:rsid w:val="00F66A4A"/>
    <w:rsid w:val="00F71E22"/>
    <w:rsid w:val="00F72142"/>
    <w:rsid w:val="00F72AE7"/>
    <w:rsid w:val="00F81141"/>
    <w:rsid w:val="00F829C9"/>
    <w:rsid w:val="00F833BA"/>
    <w:rsid w:val="00F84FD0"/>
    <w:rsid w:val="00F859A8"/>
    <w:rsid w:val="00F86D87"/>
    <w:rsid w:val="00F9108B"/>
    <w:rsid w:val="00F91349"/>
    <w:rsid w:val="00F9156B"/>
    <w:rsid w:val="00F91B50"/>
    <w:rsid w:val="00F93A8A"/>
    <w:rsid w:val="00F93CEA"/>
    <w:rsid w:val="00F95248"/>
    <w:rsid w:val="00F956A9"/>
    <w:rsid w:val="00F963ED"/>
    <w:rsid w:val="00F966CF"/>
    <w:rsid w:val="00F969DC"/>
    <w:rsid w:val="00F96CAE"/>
    <w:rsid w:val="00F97C99"/>
    <w:rsid w:val="00FA4DAC"/>
    <w:rsid w:val="00FA662D"/>
    <w:rsid w:val="00FA73B1"/>
    <w:rsid w:val="00FB088B"/>
    <w:rsid w:val="00FB0CB9"/>
    <w:rsid w:val="00FB231D"/>
    <w:rsid w:val="00FB45F1"/>
    <w:rsid w:val="00FB4A72"/>
    <w:rsid w:val="00FB54E8"/>
    <w:rsid w:val="00FB7054"/>
    <w:rsid w:val="00FC17B7"/>
    <w:rsid w:val="00FC2CB7"/>
    <w:rsid w:val="00FC4090"/>
    <w:rsid w:val="00FC55B4"/>
    <w:rsid w:val="00FC5DEB"/>
    <w:rsid w:val="00FD00E6"/>
    <w:rsid w:val="00FD09A1"/>
    <w:rsid w:val="00FD2A7C"/>
    <w:rsid w:val="00FD59EB"/>
    <w:rsid w:val="00FD7299"/>
    <w:rsid w:val="00FE1FBE"/>
    <w:rsid w:val="00FE3901"/>
    <w:rsid w:val="00FE39D3"/>
    <w:rsid w:val="00FE4BCE"/>
    <w:rsid w:val="00FE54AE"/>
    <w:rsid w:val="00FE576A"/>
    <w:rsid w:val="00FE7E79"/>
    <w:rsid w:val="00FF0C8F"/>
    <w:rsid w:val="00FF3E7D"/>
    <w:rsid w:val="00FF5918"/>
    <w:rsid w:val="00FF5B99"/>
    <w:rsid w:val="00FF730C"/>
    <w:rsid w:val="00FF73F4"/>
    <w:rsid w:val="00FF7CE4"/>
    <w:rsid w:val="00FF7E39"/>
    <w:rsid w:val="0123584C"/>
    <w:rsid w:val="01A25BB9"/>
    <w:rsid w:val="03500022"/>
    <w:rsid w:val="05D01E54"/>
    <w:rsid w:val="08B03961"/>
    <w:rsid w:val="0D2C4BF8"/>
    <w:rsid w:val="0FBD6E6C"/>
    <w:rsid w:val="1097590F"/>
    <w:rsid w:val="135F0966"/>
    <w:rsid w:val="145E13ED"/>
    <w:rsid w:val="178C784F"/>
    <w:rsid w:val="197B705E"/>
    <w:rsid w:val="1A722FA8"/>
    <w:rsid w:val="224E223B"/>
    <w:rsid w:val="22D66BAF"/>
    <w:rsid w:val="24AF4B7D"/>
    <w:rsid w:val="256C2AED"/>
    <w:rsid w:val="275B0151"/>
    <w:rsid w:val="27D5C0F3"/>
    <w:rsid w:val="27FC6CE1"/>
    <w:rsid w:val="29E22FD7"/>
    <w:rsid w:val="2A836369"/>
    <w:rsid w:val="2BF773EE"/>
    <w:rsid w:val="2D7470F9"/>
    <w:rsid w:val="2DF86354"/>
    <w:rsid w:val="2DFF2721"/>
    <w:rsid w:val="2EDBD933"/>
    <w:rsid w:val="33503CAB"/>
    <w:rsid w:val="384B10D1"/>
    <w:rsid w:val="39B37CFB"/>
    <w:rsid w:val="39EE7234"/>
    <w:rsid w:val="3A243219"/>
    <w:rsid w:val="3A5D7359"/>
    <w:rsid w:val="3B3775AD"/>
    <w:rsid w:val="3C4A5C14"/>
    <w:rsid w:val="3F755CC5"/>
    <w:rsid w:val="41C51F3F"/>
    <w:rsid w:val="42817701"/>
    <w:rsid w:val="45CA6D83"/>
    <w:rsid w:val="4BAD2DF5"/>
    <w:rsid w:val="4C526BC8"/>
    <w:rsid w:val="4E0946D6"/>
    <w:rsid w:val="4F8B2591"/>
    <w:rsid w:val="59F20A8D"/>
    <w:rsid w:val="5A933368"/>
    <w:rsid w:val="5DAB8DB1"/>
    <w:rsid w:val="5FDFB583"/>
    <w:rsid w:val="66D576F4"/>
    <w:rsid w:val="67564542"/>
    <w:rsid w:val="6C2602CC"/>
    <w:rsid w:val="70C8281B"/>
    <w:rsid w:val="70DE001C"/>
    <w:rsid w:val="716F6B00"/>
    <w:rsid w:val="71C85F73"/>
    <w:rsid w:val="735A1F5E"/>
    <w:rsid w:val="795FCA90"/>
    <w:rsid w:val="7ABE1682"/>
    <w:rsid w:val="7B9301C1"/>
    <w:rsid w:val="7E3EDB6E"/>
    <w:rsid w:val="7EFF722C"/>
    <w:rsid w:val="7F0C6D7A"/>
    <w:rsid w:val="7FBDCD3D"/>
    <w:rsid w:val="7FF13FED"/>
    <w:rsid w:val="817F3FF2"/>
    <w:rsid w:val="BFD7B622"/>
    <w:rsid w:val="F7F5D41E"/>
    <w:rsid w:val="FFB7F7AA"/>
    <w:rsid w:val="FFF48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13A39F67D3409AB867FD2E9948C828"/>
        <w:style w:val=""/>
        <w:category>
          <w:name w:val="常规"/>
          <w:gallery w:val="placeholder"/>
        </w:category>
        <w:types>
          <w:type w:val="bbPlcHdr"/>
        </w:types>
        <w:behaviors>
          <w:behavior w:val="content"/>
        </w:behaviors>
        <w:description w:val=""/>
        <w:guid w:val="{4E552511-401C-4192-84FC-7C4F7F9F3E8F}"/>
      </w:docPartPr>
      <w:docPartBody>
        <w:p>
          <w:pPr>
            <w:pStyle w:val="5"/>
          </w:pPr>
          <w:r>
            <w:rPr>
              <w:rStyle w:val="4"/>
              <w:rFonts w:hint="eastAsia"/>
            </w:rPr>
            <w:t>单击或点击此处输入文字。</w:t>
          </w:r>
        </w:p>
      </w:docPartBody>
    </w:docPart>
    <w:docPart>
      <w:docPartPr>
        <w:name w:val="4D53CF72E3B34192B44013A1010C743B"/>
        <w:style w:val=""/>
        <w:category>
          <w:name w:val="常规"/>
          <w:gallery w:val="placeholder"/>
        </w:category>
        <w:types>
          <w:type w:val="bbPlcHdr"/>
        </w:types>
        <w:behaviors>
          <w:behavior w:val="content"/>
        </w:behaviors>
        <w:description w:val=""/>
        <w:guid w:val="{7240C434-B41E-429D-9327-49F97B79653B}"/>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1D"/>
    <w:rsid w:val="000A3E36"/>
    <w:rsid w:val="00107398"/>
    <w:rsid w:val="001121B7"/>
    <w:rsid w:val="00172B12"/>
    <w:rsid w:val="001A3A29"/>
    <w:rsid w:val="002C141D"/>
    <w:rsid w:val="00360B88"/>
    <w:rsid w:val="003A3EFE"/>
    <w:rsid w:val="003F0298"/>
    <w:rsid w:val="00480FA9"/>
    <w:rsid w:val="0048567B"/>
    <w:rsid w:val="004A06B8"/>
    <w:rsid w:val="0051303A"/>
    <w:rsid w:val="00545413"/>
    <w:rsid w:val="00605175"/>
    <w:rsid w:val="006D6EC7"/>
    <w:rsid w:val="00710375"/>
    <w:rsid w:val="007703FA"/>
    <w:rsid w:val="007A2AD6"/>
    <w:rsid w:val="00861864"/>
    <w:rsid w:val="0089087C"/>
    <w:rsid w:val="009B0E77"/>
    <w:rsid w:val="00A40D14"/>
    <w:rsid w:val="00AA096A"/>
    <w:rsid w:val="00AD424F"/>
    <w:rsid w:val="00BD2215"/>
    <w:rsid w:val="00C13AD9"/>
    <w:rsid w:val="00C362B5"/>
    <w:rsid w:val="00C53261"/>
    <w:rsid w:val="00CC1BF2"/>
    <w:rsid w:val="00CD31B0"/>
    <w:rsid w:val="00D21E35"/>
    <w:rsid w:val="00D260B3"/>
    <w:rsid w:val="00D84A30"/>
    <w:rsid w:val="00DF6479"/>
    <w:rsid w:val="00E01136"/>
    <w:rsid w:val="00EA6B32"/>
    <w:rsid w:val="00F6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213A39F67D3409AB867FD2E9948C8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53CF72E3B34192B44013A1010C74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8</Pages>
  <Words>946</Words>
  <Characters>5398</Characters>
  <Lines>44</Lines>
  <Paragraphs>12</Paragraphs>
  <TotalTime>323</TotalTime>
  <ScaleCrop>false</ScaleCrop>
  <LinksUpToDate>false</LinksUpToDate>
  <CharactersWithSpaces>6332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2024-06-17T11:32:00Z</dcterms:created>
  <dc:creator>lenovo</dc:creator>
  <cp:lastModifiedBy>baixin</cp:lastModifiedBy>
  <cp:lastPrinted>2024-06-13T19:45:00Z</cp:lastPrinted>
  <dcterms:modified xsi:type="dcterms:W3CDTF">2024-06-19T08:57:24Z</dcterms:modified>
  <dc:title>地方标准</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62FEA853D2ED4A95ADCDF40E2C5A01F1_13</vt:lpwstr>
  </property>
</Properties>
</file>