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AA7DB">
      <w:pPr>
        <w:ind w:left="-263" w:firstLine="188"/>
        <w:rPr>
          <w:w w:val="95"/>
        </w:rPr>
      </w:pPr>
    </w:p>
    <w:p w14:paraId="26ABF4CA">
      <w:pPr>
        <w:ind w:left="-263" w:firstLine="188"/>
        <w:rPr>
          <w:w w:val="95"/>
        </w:rPr>
      </w:pPr>
    </w:p>
    <w:p w14:paraId="394CF83D">
      <w:pPr>
        <w:ind w:left="-263" w:firstLine="188"/>
        <w:rPr>
          <w:w w:val="95"/>
        </w:rPr>
      </w:pPr>
    </w:p>
    <w:p w14:paraId="12E64910">
      <w:pPr>
        <w:ind w:left="-263" w:firstLine="188"/>
        <w:rPr>
          <w:w w:val="95"/>
        </w:rPr>
      </w:pPr>
    </w:p>
    <w:p w14:paraId="278DAFC0">
      <w:pPr>
        <w:ind w:left="111" w:firstLine="347"/>
        <w:jc w:val="center"/>
        <w:rPr>
          <w:b/>
          <w:bCs/>
          <w:w w:val="95"/>
          <w:sz w:val="44"/>
          <w:szCs w:val="44"/>
        </w:rPr>
      </w:pPr>
      <w:bookmarkStart w:id="0" w:name="_Hlk173247958"/>
      <w:r>
        <w:rPr>
          <w:rFonts w:hint="eastAsia"/>
          <w:b/>
          <w:bCs/>
          <w:w w:val="95"/>
          <w:sz w:val="44"/>
          <w:szCs w:val="44"/>
        </w:rPr>
        <w:t>临汾市一次性</w:t>
      </w:r>
      <w:r>
        <w:rPr>
          <w:rFonts w:hint="eastAsia"/>
          <w:b/>
          <w:bCs/>
          <w:w w:val="95"/>
          <w:sz w:val="44"/>
          <w:szCs w:val="44"/>
          <w:highlight w:val="none"/>
        </w:rPr>
        <w:t>塑料餐饮具产品质</w:t>
      </w:r>
      <w:r>
        <w:rPr>
          <w:rFonts w:hint="eastAsia"/>
          <w:b/>
          <w:bCs/>
          <w:w w:val="95"/>
          <w:sz w:val="44"/>
          <w:szCs w:val="44"/>
        </w:rPr>
        <w:t>量安全</w:t>
      </w:r>
    </w:p>
    <w:p w14:paraId="019C106D">
      <w:pPr>
        <w:ind w:left="158" w:firstLine="367"/>
        <w:jc w:val="center"/>
        <w:rPr>
          <w:b/>
          <w:bCs/>
          <w:sz w:val="44"/>
          <w:szCs w:val="44"/>
        </w:rPr>
      </w:pPr>
      <w:r>
        <w:rPr>
          <w:rFonts w:hint="eastAsia"/>
          <w:b/>
          <w:bCs/>
          <w:sz w:val="44"/>
          <w:szCs w:val="44"/>
        </w:rPr>
        <w:t>风险监测实施方案</w:t>
      </w:r>
    </w:p>
    <w:bookmarkEnd w:id="0"/>
    <w:p w14:paraId="5B2ED780">
      <w:pPr>
        <w:pStyle w:val="5"/>
      </w:pPr>
    </w:p>
    <w:p w14:paraId="2F0E224B">
      <w:pPr>
        <w:pStyle w:val="5"/>
      </w:pPr>
    </w:p>
    <w:p w14:paraId="4C465F8D">
      <w:pPr>
        <w:pStyle w:val="5"/>
      </w:pPr>
    </w:p>
    <w:p w14:paraId="42CC88ED">
      <w:pPr>
        <w:pStyle w:val="5"/>
      </w:pPr>
    </w:p>
    <w:p w14:paraId="3BADCABC">
      <w:pPr>
        <w:pStyle w:val="5"/>
      </w:pPr>
    </w:p>
    <w:p w14:paraId="15475196">
      <w:pPr>
        <w:pStyle w:val="5"/>
      </w:pPr>
    </w:p>
    <w:p w14:paraId="6C119F50">
      <w:pPr>
        <w:pStyle w:val="5"/>
      </w:pPr>
    </w:p>
    <w:p w14:paraId="7B19A643">
      <w:pPr>
        <w:pStyle w:val="5"/>
      </w:pPr>
    </w:p>
    <w:p w14:paraId="220C4F41">
      <w:pPr>
        <w:pStyle w:val="5"/>
      </w:pPr>
    </w:p>
    <w:p w14:paraId="4D492E47">
      <w:pPr>
        <w:pStyle w:val="5"/>
      </w:pPr>
    </w:p>
    <w:p w14:paraId="0B814671">
      <w:pPr>
        <w:ind w:leftChars="-295" w:hanging="708" w:hangingChars="196"/>
        <w:jc w:val="center"/>
        <w:rPr>
          <w:b/>
          <w:bCs/>
          <w:sz w:val="36"/>
          <w:szCs w:val="36"/>
        </w:rPr>
      </w:pPr>
      <w:r>
        <w:rPr>
          <w:rFonts w:hint="eastAsia"/>
          <w:b/>
          <w:bCs/>
          <w:sz w:val="36"/>
          <w:szCs w:val="36"/>
        </w:rPr>
        <w:t>组织部门：临汾市市场监督管理局</w:t>
      </w:r>
    </w:p>
    <w:p w14:paraId="79781F0F">
      <w:pPr>
        <w:pStyle w:val="5"/>
      </w:pPr>
    </w:p>
    <w:p w14:paraId="104C83A1">
      <w:pPr>
        <w:ind w:firstLine="300"/>
        <w:jc w:val="center"/>
        <w:rPr>
          <w:b/>
          <w:bCs/>
          <w:sz w:val="36"/>
          <w:szCs w:val="36"/>
        </w:rPr>
      </w:pPr>
      <w:r>
        <w:rPr>
          <w:rFonts w:hint="eastAsia"/>
          <w:b/>
          <w:bCs/>
          <w:sz w:val="36"/>
          <w:szCs w:val="36"/>
        </w:rPr>
        <w:t>承检机构：深圳市英柏检测技术有限公司</w:t>
      </w:r>
    </w:p>
    <w:p w14:paraId="626270A8">
      <w:pPr>
        <w:ind w:firstLine="300"/>
        <w:jc w:val="center"/>
        <w:rPr>
          <w:b/>
          <w:bCs/>
          <w:sz w:val="36"/>
          <w:szCs w:val="36"/>
        </w:rPr>
      </w:pPr>
    </w:p>
    <w:p w14:paraId="7588CD92">
      <w:pPr>
        <w:ind w:firstLine="300"/>
        <w:jc w:val="center"/>
        <w:rPr>
          <w:b/>
          <w:bCs/>
          <w:sz w:val="36"/>
          <w:szCs w:val="36"/>
        </w:rPr>
      </w:pPr>
      <w:r>
        <w:rPr>
          <w:rFonts w:hint="eastAsia"/>
          <w:b/>
          <w:bCs/>
          <w:sz w:val="36"/>
          <w:szCs w:val="36"/>
        </w:rPr>
        <w:t>202</w:t>
      </w:r>
      <w:r>
        <w:rPr>
          <w:b/>
          <w:bCs/>
          <w:sz w:val="36"/>
          <w:szCs w:val="36"/>
        </w:rPr>
        <w:t>5</w:t>
      </w:r>
      <w:r>
        <w:rPr>
          <w:rFonts w:hint="eastAsia"/>
          <w:b/>
          <w:bCs/>
          <w:spacing w:val="-15"/>
          <w:sz w:val="36"/>
          <w:szCs w:val="36"/>
        </w:rPr>
        <w:t>年</w:t>
      </w:r>
      <w:r>
        <w:rPr>
          <w:b/>
          <w:bCs/>
          <w:spacing w:val="-15"/>
          <w:sz w:val="36"/>
          <w:szCs w:val="36"/>
        </w:rPr>
        <w:t>9</w:t>
      </w:r>
      <w:r>
        <w:rPr>
          <w:rFonts w:hint="eastAsia"/>
          <w:b/>
          <w:bCs/>
          <w:spacing w:val="-12"/>
          <w:sz w:val="36"/>
          <w:szCs w:val="36"/>
        </w:rPr>
        <w:t>月</w:t>
      </w:r>
    </w:p>
    <w:p w14:paraId="7563CB5A">
      <w:pPr>
        <w:ind w:left="-238" w:firstLine="199"/>
      </w:pPr>
      <w:r>
        <w:br w:type="page"/>
      </w:r>
    </w:p>
    <w:p w14:paraId="22B752B2">
      <w:pPr>
        <w:ind w:left="-238" w:firstLine="199"/>
        <w:jc w:val="center"/>
        <w:rPr>
          <w:b/>
          <w:bCs/>
          <w:sz w:val="28"/>
          <w:szCs w:val="28"/>
          <w:highlight w:val="none"/>
        </w:rPr>
      </w:pPr>
      <w:r>
        <w:rPr>
          <w:rFonts w:hint="eastAsia"/>
          <w:b/>
          <w:bCs/>
          <w:sz w:val="28"/>
          <w:szCs w:val="28"/>
        </w:rPr>
        <w:t>临汾市一次性</w:t>
      </w:r>
      <w:r>
        <w:rPr>
          <w:rFonts w:hint="eastAsia"/>
          <w:b/>
          <w:bCs/>
          <w:sz w:val="28"/>
          <w:szCs w:val="28"/>
          <w:highlight w:val="none"/>
        </w:rPr>
        <w:t>塑料餐饮具产品质量安全风险监测实施方案</w:t>
      </w:r>
    </w:p>
    <w:p w14:paraId="6DEC2D01">
      <w:pPr>
        <w:pStyle w:val="2"/>
        <w:rPr>
          <w:highlight w:val="none"/>
        </w:rPr>
      </w:pPr>
      <w:r>
        <w:rPr>
          <w:rFonts w:hint="eastAsia"/>
          <w:highlight w:val="none"/>
        </w:rPr>
        <w:t>一、产品现状分析</w:t>
      </w:r>
    </w:p>
    <w:p w14:paraId="18876BCA">
      <w:pPr>
        <w:pStyle w:val="3"/>
        <w:rPr>
          <w:highlight w:val="none"/>
        </w:rPr>
      </w:pPr>
      <w:r>
        <w:rPr>
          <w:rFonts w:hint="eastAsia"/>
          <w:highlight w:val="none"/>
        </w:rPr>
        <w:t>1.1产品</w:t>
      </w:r>
      <w:r>
        <w:rPr>
          <w:highlight w:val="none"/>
        </w:rPr>
        <w:t>概况</w:t>
      </w:r>
    </w:p>
    <w:p w14:paraId="08640804">
      <w:pPr>
        <w:pStyle w:val="6"/>
        <w:spacing w:line="360" w:lineRule="auto"/>
        <w:ind w:firstLine="480" w:firstLineChars="200"/>
        <w:jc w:val="both"/>
        <w:rPr>
          <w:sz w:val="24"/>
          <w:szCs w:val="24"/>
          <w:highlight w:val="none"/>
        </w:rPr>
      </w:pPr>
      <w:r>
        <w:rPr>
          <w:rFonts w:hint="eastAsia"/>
          <w:sz w:val="24"/>
          <w:szCs w:val="24"/>
          <w:highlight w:val="none"/>
        </w:rPr>
        <w:t>一次性塑料餐饮具是指树脂或其他热塑性材料通过热塑成型加工而成的预期用餐或类似用途的一次性器具，包括一次性使用的餐盒、盘、碟、刀、叉、勺、筷、碗、杯等，具有生产成本低、生产效率高、款式多样、不易破碎等特点。随着我国外卖行业的兴起，一次性塑料餐饮具的生产、销售和使用量也越来越多。按照其材质可以分为通用塑料一次性餐饮具、植物纤维模塑一次性餐饮具、淀粉基塑料一次性餐饮具、其他覆塑一次性餐饮具。</w:t>
      </w:r>
    </w:p>
    <w:p w14:paraId="5296CAEC">
      <w:pPr>
        <w:pStyle w:val="6"/>
        <w:spacing w:line="360" w:lineRule="auto"/>
        <w:ind w:firstLine="480" w:firstLineChars="200"/>
        <w:jc w:val="both"/>
        <w:rPr>
          <w:sz w:val="24"/>
          <w:szCs w:val="24"/>
          <w:highlight w:val="none"/>
        </w:rPr>
      </w:pPr>
      <w:r>
        <w:rPr>
          <w:rFonts w:hint="eastAsia"/>
          <w:sz w:val="24"/>
          <w:szCs w:val="24"/>
          <w:highlight w:val="none"/>
        </w:rPr>
        <w:t>目前我国塑料制品相关企业主要分布在浙江省、广东省、山东省、江苏省、河北省、上海市及河南省。从省份区域分布来看，浙江以59.80万家排名第一，广东省、山东省分别有47.26万家、46.64万家，排在第二、三名。从城市分布来看，宁波位居榜首，有16.66万家塑料制品企业，其次是金华、广州等。一次性塑料餐具行业分散，市场集中度比较低，大中型企业较少，小微企业众多。一次性塑料餐饮具生产企业主要集中在河北、安徽、广东、湖北、浙江等地区。山西省一次性塑料餐饮具生产企业较少。</w:t>
      </w:r>
    </w:p>
    <w:p w14:paraId="2094BF0F">
      <w:pPr>
        <w:pStyle w:val="3"/>
      </w:pPr>
      <w:r>
        <w:t>1.</w:t>
      </w:r>
      <w:r>
        <w:rPr>
          <w:rFonts w:hint="eastAsia"/>
        </w:rPr>
        <w:t>2国内外监管情况</w:t>
      </w:r>
    </w:p>
    <w:p w14:paraId="59EDF2EC">
      <w:pPr>
        <w:pStyle w:val="6"/>
        <w:spacing w:line="360" w:lineRule="auto"/>
        <w:jc w:val="both"/>
        <w:rPr>
          <w:b/>
          <w:bCs/>
          <w:sz w:val="24"/>
          <w:szCs w:val="24"/>
        </w:rPr>
      </w:pPr>
      <w:r>
        <w:rPr>
          <w:rFonts w:hint="eastAsia"/>
          <w:b/>
          <w:bCs/>
          <w:sz w:val="24"/>
          <w:szCs w:val="24"/>
        </w:rPr>
        <w:t>（1）监督抽查情况</w:t>
      </w:r>
    </w:p>
    <w:p w14:paraId="4DDBDEC6">
      <w:pPr>
        <w:pStyle w:val="6"/>
        <w:spacing w:line="360" w:lineRule="auto"/>
        <w:ind w:firstLine="480" w:firstLineChars="200"/>
        <w:jc w:val="both"/>
        <w:rPr>
          <w:sz w:val="24"/>
          <w:szCs w:val="24"/>
          <w:highlight w:val="none"/>
        </w:rPr>
      </w:pPr>
      <w:r>
        <w:rPr>
          <w:rFonts w:hint="eastAsia"/>
          <w:sz w:val="24"/>
          <w:szCs w:val="24"/>
          <w:highlight w:val="none"/>
        </w:rPr>
        <w:t>2</w:t>
      </w:r>
      <w:r>
        <w:rPr>
          <w:sz w:val="24"/>
          <w:szCs w:val="24"/>
          <w:highlight w:val="none"/>
        </w:rPr>
        <w:t>024年</w:t>
      </w:r>
      <w:r>
        <w:rPr>
          <w:rFonts w:hint="eastAsia"/>
          <w:sz w:val="24"/>
          <w:szCs w:val="24"/>
          <w:highlight w:val="none"/>
          <w:lang w:eastAsia="zh-CN"/>
        </w:rPr>
        <w:t>，</w:t>
      </w:r>
      <w:r>
        <w:rPr>
          <w:sz w:val="24"/>
          <w:szCs w:val="24"/>
          <w:highlight w:val="none"/>
        </w:rPr>
        <w:t>国家市场监督管理局</w:t>
      </w:r>
      <w:r>
        <w:rPr>
          <w:rFonts w:hint="eastAsia"/>
          <w:sz w:val="24"/>
          <w:szCs w:val="24"/>
          <w:highlight w:val="none"/>
        </w:rPr>
        <w:t>共抽查</w:t>
      </w:r>
      <w:r>
        <w:rPr>
          <w:sz w:val="24"/>
          <w:szCs w:val="24"/>
          <w:highlight w:val="none"/>
        </w:rPr>
        <w:t>338批次</w:t>
      </w:r>
      <w:r>
        <w:rPr>
          <w:rFonts w:hint="eastAsia"/>
          <w:sz w:val="24"/>
          <w:szCs w:val="24"/>
          <w:highlight w:val="none"/>
        </w:rPr>
        <w:t>塑料一次性餐饮具</w:t>
      </w:r>
      <w:r>
        <w:rPr>
          <w:sz w:val="24"/>
          <w:szCs w:val="24"/>
          <w:highlight w:val="none"/>
        </w:rPr>
        <w:t>产品，重点对感官要求、总迁移量、高锰酸钾消耗量、重金属（以Pb计）、脱色试验、芳香族伯胺迁移总量、特定迁移量（以锑计）、大肠菌群、沙门氏菌、霉菌计数、特定迁移总量（以对苯二甲酸计）、特定迁移总量（以乙二醇计）、1,3-丁二烯特定迁移量、苯乙烯和乙苯残留量等14个安全项目进行了检验。其中在广东、河北、福建等19个省份的225家生产单位抽查225批次产品；在湖北、广东、上海等16个省份的113家销售单位抽查113批次产品，均未发现不合格产品。</w:t>
      </w:r>
    </w:p>
    <w:p w14:paraId="5C175254">
      <w:pPr>
        <w:pStyle w:val="6"/>
        <w:spacing w:line="360" w:lineRule="auto"/>
        <w:ind w:firstLine="480" w:firstLineChars="200"/>
        <w:jc w:val="both"/>
        <w:rPr>
          <w:sz w:val="24"/>
          <w:szCs w:val="24"/>
        </w:rPr>
      </w:pPr>
      <w:r>
        <w:rPr>
          <w:rFonts w:hint="eastAsia"/>
          <w:sz w:val="24"/>
          <w:szCs w:val="24"/>
        </w:rPr>
        <w:t>2</w:t>
      </w:r>
      <w:r>
        <w:rPr>
          <w:sz w:val="24"/>
          <w:szCs w:val="24"/>
        </w:rPr>
        <w:t>024年</w:t>
      </w:r>
      <w:r>
        <w:rPr>
          <w:rFonts w:hint="eastAsia"/>
          <w:sz w:val="24"/>
          <w:szCs w:val="24"/>
        </w:rPr>
        <w:t>，</w:t>
      </w:r>
      <w:r>
        <w:rPr>
          <w:sz w:val="24"/>
          <w:szCs w:val="24"/>
        </w:rPr>
        <w:t>山东省市场监督管理局</w:t>
      </w:r>
      <w:r>
        <w:rPr>
          <w:rFonts w:hint="eastAsia"/>
          <w:sz w:val="24"/>
          <w:szCs w:val="24"/>
        </w:rPr>
        <w:t>第</w:t>
      </w:r>
      <w:r>
        <w:rPr>
          <w:sz w:val="24"/>
          <w:szCs w:val="24"/>
        </w:rPr>
        <w:t>2批产品质量省级监督抽查共抽查塑料一次性餐饮具产品30批次，其中，生产领域15批次，流通领域15批次。抽查发现2批次产品不符合相关标准的要求，不合格项目为负重性能。</w:t>
      </w:r>
    </w:p>
    <w:p w14:paraId="63ECCAB5">
      <w:pPr>
        <w:pStyle w:val="6"/>
        <w:spacing w:line="360" w:lineRule="auto"/>
        <w:ind w:firstLine="480" w:firstLineChars="200"/>
        <w:jc w:val="both"/>
        <w:rPr>
          <w:sz w:val="24"/>
          <w:szCs w:val="24"/>
        </w:rPr>
      </w:pPr>
      <w:r>
        <w:rPr>
          <w:rFonts w:hint="eastAsia"/>
          <w:sz w:val="24"/>
          <w:szCs w:val="24"/>
          <w:highlight w:val="none"/>
        </w:rPr>
        <w:t>2</w:t>
      </w:r>
      <w:r>
        <w:rPr>
          <w:sz w:val="24"/>
          <w:szCs w:val="24"/>
          <w:highlight w:val="none"/>
        </w:rPr>
        <w:t>024年</w:t>
      </w:r>
      <w:r>
        <w:rPr>
          <w:rFonts w:hint="eastAsia"/>
          <w:sz w:val="24"/>
          <w:szCs w:val="24"/>
          <w:highlight w:val="none"/>
        </w:rPr>
        <w:t>，</w:t>
      </w:r>
      <w:r>
        <w:rPr>
          <w:rFonts w:hint="eastAsia"/>
          <w:sz w:val="24"/>
          <w:szCs w:val="24"/>
          <w:highlight w:val="none"/>
          <w:lang w:val="en-US" w:eastAsia="zh-CN"/>
        </w:rPr>
        <w:t>云南省市场监督管理局</w:t>
      </w:r>
      <w:r>
        <w:rPr>
          <w:sz w:val="24"/>
          <w:szCs w:val="24"/>
          <w:highlight w:val="none"/>
          <w:lang w:val="en-US" w:eastAsia="zh-CN"/>
        </w:rPr>
        <w:t>开展了塑料一次性餐饮具</w:t>
      </w:r>
      <w:r>
        <w:rPr>
          <w:rFonts w:hint="default"/>
          <w:sz w:val="24"/>
          <w:szCs w:val="24"/>
          <w:highlight w:val="none"/>
          <w:lang w:val="en-US" w:eastAsia="zh-CN"/>
        </w:rPr>
        <w:t>产品质量监督抽查</w:t>
      </w:r>
      <w:r>
        <w:rPr>
          <w:rFonts w:hint="eastAsia"/>
          <w:sz w:val="24"/>
          <w:szCs w:val="24"/>
          <w:highlight w:val="none"/>
          <w:lang w:val="en-US" w:eastAsia="zh-CN"/>
        </w:rPr>
        <w:t>，抽查产品品种涉及一次性使用</w:t>
      </w:r>
      <w:r>
        <w:rPr>
          <w:sz w:val="24"/>
          <w:szCs w:val="24"/>
          <w:lang w:val="en-US" w:eastAsia="zh-CN"/>
        </w:rPr>
        <w:t>搅拌棒、杯、冰袋、叉、碗（盒）、勺、手套、吸管。</w:t>
      </w:r>
      <w:r>
        <w:rPr>
          <w:rFonts w:hint="default"/>
          <w:sz w:val="24"/>
          <w:szCs w:val="24"/>
          <w:lang w:val="en-US" w:eastAsia="zh-CN"/>
        </w:rPr>
        <w:t>经检验，抽查的</w:t>
      </w:r>
      <w:r>
        <w:rPr>
          <w:rFonts w:hint="eastAsia"/>
          <w:sz w:val="24"/>
          <w:szCs w:val="24"/>
          <w:lang w:val="en-US" w:eastAsia="zh-CN"/>
        </w:rPr>
        <w:t>95</w:t>
      </w:r>
      <w:r>
        <w:rPr>
          <w:rFonts w:hint="default"/>
          <w:sz w:val="24"/>
          <w:szCs w:val="24"/>
          <w:lang w:val="en-US" w:eastAsia="zh-CN"/>
        </w:rPr>
        <w:t>批次样品中，</w:t>
      </w:r>
      <w:r>
        <w:rPr>
          <w:rFonts w:hint="eastAsia"/>
          <w:sz w:val="24"/>
          <w:szCs w:val="24"/>
          <w:lang w:val="en-US" w:eastAsia="zh-CN"/>
        </w:rPr>
        <w:t>86</w:t>
      </w:r>
      <w:r>
        <w:rPr>
          <w:rFonts w:hint="default"/>
          <w:sz w:val="24"/>
          <w:szCs w:val="24"/>
          <w:lang w:val="en-US" w:eastAsia="zh-CN"/>
        </w:rPr>
        <w:t>批次合格，</w:t>
      </w:r>
      <w:r>
        <w:rPr>
          <w:rFonts w:hint="eastAsia"/>
          <w:sz w:val="24"/>
          <w:szCs w:val="24"/>
          <w:lang w:val="en-US" w:eastAsia="zh-CN"/>
        </w:rPr>
        <w:t>9</w:t>
      </w:r>
      <w:r>
        <w:rPr>
          <w:rFonts w:hint="default"/>
          <w:sz w:val="24"/>
          <w:szCs w:val="24"/>
          <w:lang w:val="en-US" w:eastAsia="zh-CN"/>
        </w:rPr>
        <w:t>批次不合格，不合格发现率为</w:t>
      </w:r>
      <w:r>
        <w:rPr>
          <w:rFonts w:hint="eastAsia"/>
          <w:sz w:val="24"/>
          <w:szCs w:val="24"/>
          <w:lang w:val="en-US" w:eastAsia="zh-CN"/>
        </w:rPr>
        <w:t>9.47%</w:t>
      </w:r>
      <w:r>
        <w:rPr>
          <w:rFonts w:hint="default"/>
          <w:sz w:val="24"/>
          <w:szCs w:val="24"/>
          <w:lang w:val="en-US" w:eastAsia="zh-CN"/>
        </w:rPr>
        <w:t>。发现的不合格项目有：负重性能，产品标识信息。</w:t>
      </w:r>
    </w:p>
    <w:p w14:paraId="188D404C">
      <w:pPr>
        <w:pStyle w:val="6"/>
        <w:spacing w:line="360" w:lineRule="auto"/>
        <w:ind w:firstLine="480" w:firstLineChars="200"/>
        <w:jc w:val="both"/>
        <w:rPr>
          <w:sz w:val="24"/>
          <w:szCs w:val="24"/>
        </w:rPr>
      </w:pPr>
      <w:r>
        <w:rPr>
          <w:rFonts w:hint="eastAsia"/>
          <w:sz w:val="24"/>
          <w:szCs w:val="24"/>
        </w:rPr>
        <w:t>2023年，河南省市场监督管理局在生产企业抽查了12个地市40家企业生产的40批次塑料一次性餐饮具产品。经检验，未发现不合格。</w:t>
      </w:r>
    </w:p>
    <w:p w14:paraId="7DE8610C">
      <w:pPr>
        <w:pStyle w:val="6"/>
        <w:spacing w:line="360" w:lineRule="auto"/>
        <w:ind w:firstLine="480" w:firstLineChars="200"/>
        <w:jc w:val="both"/>
        <w:rPr>
          <w:sz w:val="24"/>
          <w:szCs w:val="24"/>
        </w:rPr>
      </w:pPr>
      <w:r>
        <w:rPr>
          <w:rFonts w:hint="eastAsia"/>
          <w:sz w:val="24"/>
          <w:szCs w:val="24"/>
        </w:rPr>
        <w:t>2023年1、2季度，吉林省市场监督管理厅组织开展了2023年塑料一次性餐饮具产品质量国家联动抽查，共抽查18家生产、销售者生产销售的20批次产品。经检测，未发现不合格产品。</w:t>
      </w:r>
    </w:p>
    <w:p w14:paraId="56E00776">
      <w:pPr>
        <w:pStyle w:val="6"/>
        <w:spacing w:line="360" w:lineRule="auto"/>
        <w:ind w:firstLine="480" w:firstLineChars="200"/>
        <w:jc w:val="both"/>
        <w:rPr>
          <w:sz w:val="24"/>
          <w:szCs w:val="24"/>
        </w:rPr>
      </w:pPr>
      <w:r>
        <w:rPr>
          <w:rFonts w:hint="eastAsia"/>
          <w:sz w:val="24"/>
          <w:szCs w:val="24"/>
        </w:rPr>
        <w:t>2023年福建省市场监督管理局组织对生产企业一次性塑料餐饮具产品质量开展省级监督抽查。本次共抽查150家生产企业150批次，其中1批次不合格，不合格发现率为0.67%。</w:t>
      </w:r>
    </w:p>
    <w:p w14:paraId="558AA9DE">
      <w:pPr>
        <w:pStyle w:val="6"/>
        <w:spacing w:line="360" w:lineRule="auto"/>
        <w:ind w:firstLine="480" w:firstLineChars="200"/>
        <w:jc w:val="both"/>
        <w:rPr>
          <w:sz w:val="24"/>
          <w:szCs w:val="24"/>
        </w:rPr>
      </w:pPr>
      <w:r>
        <w:rPr>
          <w:rFonts w:hint="eastAsia"/>
          <w:sz w:val="24"/>
          <w:szCs w:val="24"/>
        </w:rPr>
        <w:t>2022年广东省市场监督管理局对食品相关产品开展省级“双随机”监督抽查。其中，抽查200批次一次性塑料餐饮具（含可降解材料一次性餐饮具），检出1批次不合格，中山市小榄镇轩胜百货商行销售的一次性汤匙（生产单位：广东喜堆金塑料制品有限公司），总迁移量[4%（体积分数）乙酸]不符合食品相关产品安全国家标准规定。</w:t>
      </w:r>
    </w:p>
    <w:p w14:paraId="74CF8EDF">
      <w:pPr>
        <w:pStyle w:val="6"/>
        <w:spacing w:line="360" w:lineRule="auto"/>
        <w:ind w:firstLine="480" w:firstLineChars="200"/>
        <w:jc w:val="both"/>
        <w:rPr>
          <w:sz w:val="24"/>
          <w:szCs w:val="24"/>
        </w:rPr>
      </w:pPr>
      <w:r>
        <w:rPr>
          <w:rFonts w:hint="eastAsia"/>
          <w:sz w:val="24"/>
          <w:szCs w:val="24"/>
        </w:rPr>
        <w:t>2022年江苏省宜兴市市场监督管理局抽查食品接触用塑料制品30批次，不合格1批次，问题发现率2%，抽查不合格项目为负重性能。</w:t>
      </w:r>
    </w:p>
    <w:p w14:paraId="59A8E916">
      <w:pPr>
        <w:pStyle w:val="6"/>
        <w:spacing w:line="360" w:lineRule="auto"/>
        <w:ind w:firstLine="480" w:firstLineChars="200"/>
        <w:jc w:val="both"/>
        <w:rPr>
          <w:sz w:val="24"/>
          <w:szCs w:val="24"/>
        </w:rPr>
      </w:pPr>
      <w:r>
        <w:rPr>
          <w:rFonts w:hint="eastAsia"/>
          <w:sz w:val="24"/>
          <w:szCs w:val="24"/>
        </w:rPr>
        <w:t>2021年，重庆市市场监督管理局开展第一批食品相关产品质量监督抽查。本次抽查涉及食品相关产品中的食品用塑料包装容器等制品、食品用纸包装容器等制品、食品用餐具洗涤剂。共对在生产企业生产的325批次产品开展了监督抽查，检测中发现6批次产品不合格。其中1批次“一次性塑料餐盒”的总迁移量（4%乙酸，40℃，10d，mg/dm2）不合格。</w:t>
      </w:r>
    </w:p>
    <w:p w14:paraId="4002D65F">
      <w:pPr>
        <w:pStyle w:val="6"/>
        <w:spacing w:line="360" w:lineRule="auto"/>
        <w:jc w:val="both"/>
        <w:rPr>
          <w:b/>
          <w:bCs/>
          <w:sz w:val="24"/>
          <w:szCs w:val="24"/>
        </w:rPr>
      </w:pPr>
      <w:r>
        <w:rPr>
          <w:rFonts w:hint="eastAsia"/>
          <w:b/>
          <w:bCs/>
          <w:sz w:val="24"/>
          <w:szCs w:val="24"/>
        </w:rPr>
        <w:t>（2）风险监测情况</w:t>
      </w:r>
    </w:p>
    <w:p w14:paraId="47E6CB22">
      <w:pPr>
        <w:pStyle w:val="6"/>
        <w:spacing w:line="360" w:lineRule="auto"/>
        <w:ind w:firstLine="480" w:firstLineChars="200"/>
        <w:jc w:val="both"/>
        <w:rPr>
          <w:sz w:val="24"/>
          <w:szCs w:val="24"/>
        </w:rPr>
      </w:pPr>
      <w:r>
        <w:rPr>
          <w:rFonts w:hint="eastAsia"/>
          <w:sz w:val="24"/>
          <w:szCs w:val="24"/>
        </w:rPr>
        <w:t>2023年，新疆维吾尔自治区市场监督管理局组织对流通领域销售、使用的塑料一次性餐饮具开展风险监测，采样范围涉及商场、超市、批发市场、小商铺和餐饮店，依据相关标准分别对塑料一次性餐饮具的负重性能、跌落性能、耐温性能、漏水性等使用性能指标，感官要求、总迁移量、高锰酸钾消耗量、重金属、邻苯二甲酸酯类等卫生、安全性指标及微生物指标大肠菌群进行测试和评价。共采样10批次，2批次负重性能检测结果超过5%（技术指标规定是不超过5%）。</w:t>
      </w:r>
    </w:p>
    <w:p w14:paraId="7C0BC245">
      <w:pPr>
        <w:pStyle w:val="6"/>
        <w:spacing w:line="360" w:lineRule="auto"/>
        <w:ind w:firstLine="480" w:firstLineChars="200"/>
        <w:jc w:val="both"/>
        <w:rPr>
          <w:sz w:val="24"/>
          <w:szCs w:val="24"/>
        </w:rPr>
      </w:pPr>
      <w:r>
        <w:rPr>
          <w:rFonts w:hint="eastAsia"/>
          <w:sz w:val="24"/>
          <w:szCs w:val="24"/>
        </w:rPr>
        <w:t>2023年四川省市场监督管理局对食品相关产品进行了风险监测，食品接触用塑料制品监测项目为总迁移量、大肠菌群、沙门氏菌、霉菌、双酚A特定迁移量、重金属(以Pb计)、邻苯二甲酸酯特定迁移量、甲醛迁移量、三聚氰胺迁移量、耐污染性。其中塑料一次性餐饮具共抽查62批次，检出问题样品3批次，问题样品检出率4.8%，检出问题项目为总迁移量项目。</w:t>
      </w:r>
    </w:p>
    <w:p w14:paraId="6A28D8FC">
      <w:pPr>
        <w:pStyle w:val="6"/>
        <w:spacing w:line="360" w:lineRule="auto"/>
        <w:ind w:firstLine="480" w:firstLineChars="200"/>
        <w:jc w:val="both"/>
        <w:rPr>
          <w:sz w:val="24"/>
          <w:szCs w:val="24"/>
        </w:rPr>
      </w:pPr>
      <w:r>
        <w:rPr>
          <w:rFonts w:hint="eastAsia"/>
          <w:sz w:val="24"/>
          <w:szCs w:val="24"/>
        </w:rPr>
        <w:t>2023年，锦州市市场监督管理局组织开展了食品相关产品质量安全风险监测工作。该次风险监测共采集食品相关产品30批次，包含一次性纸杯（纸碗）、一次性塑料餐具、一次性筷子等产品。其中一次性塑料餐具主要依据GB 4806.7-2016《食品安全国家标准 食品接触用塑料材料及制品》，对总迁移量、高锰酸钾消耗量、重金属等指标进行了监测。监测结果表明，30批次产品未发现不符合项目。</w:t>
      </w:r>
    </w:p>
    <w:p w14:paraId="3C192891">
      <w:pPr>
        <w:pStyle w:val="6"/>
        <w:spacing w:line="360" w:lineRule="auto"/>
        <w:ind w:firstLine="480" w:firstLineChars="200"/>
        <w:jc w:val="both"/>
        <w:rPr>
          <w:sz w:val="24"/>
          <w:szCs w:val="24"/>
        </w:rPr>
      </w:pPr>
      <w:r>
        <w:rPr>
          <w:rFonts w:hint="eastAsia"/>
          <w:sz w:val="24"/>
          <w:szCs w:val="24"/>
        </w:rPr>
        <w:t>2023年，山西省市场监督管理局组织开展了食品接触用塑料制品产品质量安全风险监测，监测项目包括总迁移量、大肠菌群、沙门氏菌、霉菌、双酚A特定迁移量，监测结果显示，62批次塑料一次性餐饮具中未发现风险项目。</w:t>
      </w:r>
    </w:p>
    <w:p w14:paraId="2C362788">
      <w:pPr>
        <w:pStyle w:val="6"/>
        <w:spacing w:line="360" w:lineRule="auto"/>
        <w:ind w:firstLine="480" w:firstLineChars="200"/>
        <w:jc w:val="both"/>
        <w:rPr>
          <w:sz w:val="24"/>
          <w:szCs w:val="24"/>
        </w:rPr>
      </w:pPr>
      <w:r>
        <w:rPr>
          <w:rFonts w:hint="eastAsia"/>
          <w:sz w:val="24"/>
          <w:szCs w:val="24"/>
        </w:rPr>
        <w:t>2021年，山西省市场监督管理局组织开展了食品接触用塑料制品产品质量安全风险监测，监测项目包括总迁移量、重金属（以Pb计）、双酚A特定迁移量、邻苯二甲酸酯特定迁移量，监测结果显示，20批次一次性塑料餐具未发现不合格项目。</w:t>
      </w:r>
    </w:p>
    <w:p w14:paraId="3497529D">
      <w:pPr>
        <w:pStyle w:val="6"/>
        <w:spacing w:line="360" w:lineRule="auto"/>
        <w:jc w:val="both"/>
        <w:rPr>
          <w:b/>
          <w:bCs/>
          <w:sz w:val="24"/>
          <w:szCs w:val="24"/>
        </w:rPr>
      </w:pPr>
      <w:r>
        <w:rPr>
          <w:rFonts w:hint="eastAsia"/>
          <w:b/>
          <w:bCs/>
          <w:sz w:val="24"/>
          <w:szCs w:val="24"/>
        </w:rPr>
        <w:t>（3）国内召回情况</w:t>
      </w:r>
    </w:p>
    <w:p w14:paraId="1BA80B6D">
      <w:pPr>
        <w:pStyle w:val="6"/>
        <w:spacing w:line="360" w:lineRule="auto"/>
        <w:ind w:firstLine="480" w:firstLineChars="200"/>
        <w:jc w:val="both"/>
        <w:rPr>
          <w:rFonts w:hint="eastAsia"/>
          <w:sz w:val="24"/>
          <w:szCs w:val="24"/>
        </w:rPr>
      </w:pPr>
      <w:r>
        <w:rPr>
          <w:rFonts w:hint="eastAsia"/>
          <w:sz w:val="24"/>
          <w:szCs w:val="24"/>
          <w:lang w:val="en-US" w:eastAsia="zh-CN"/>
        </w:rPr>
        <w:t>2025年6月，</w:t>
      </w:r>
      <w:r>
        <w:rPr>
          <w:rFonts w:hint="eastAsia"/>
          <w:sz w:val="24"/>
          <w:szCs w:val="24"/>
        </w:rPr>
        <w:t>江西康利塑胶有限公司按照《消费品召回管理暂行规定》的要求，主动向江西省市场监督管理局报告了召回计划，召回2024年3月8日制造的欣康利牌750方形塑料一次性餐盒，涉及数量为4800套。本次召回范围内的塑料一次性餐饮具，标签标识项目不符合GB 4806．1－2016《食品安全国家标准食品接触材料及制品通用安全要求》标准要求，标签标识信息不完整、有误，容易误导消费者，影响消费者对产品质量优劣的判断，引发安全隐患。</w:t>
      </w:r>
    </w:p>
    <w:p w14:paraId="3EC113AF">
      <w:pPr>
        <w:pStyle w:val="6"/>
        <w:spacing w:line="360" w:lineRule="auto"/>
        <w:ind w:firstLine="480" w:firstLineChars="200"/>
        <w:jc w:val="both"/>
        <w:rPr>
          <w:rFonts w:hint="eastAsia"/>
          <w:sz w:val="24"/>
          <w:szCs w:val="24"/>
        </w:rPr>
      </w:pPr>
      <w:r>
        <w:rPr>
          <w:rFonts w:hint="eastAsia"/>
          <w:sz w:val="24"/>
          <w:szCs w:val="24"/>
          <w:lang w:val="en-US" w:eastAsia="zh-CN"/>
        </w:rPr>
        <w:t>2024年7月，</w:t>
      </w:r>
      <w:r>
        <w:rPr>
          <w:rFonts w:hint="eastAsia"/>
          <w:sz w:val="24"/>
          <w:szCs w:val="24"/>
        </w:rPr>
        <w:t>山西盈润塑料制品有限公司按照《消费品召回管理暂行规定》的要求，主动向山西省市场监督管理局报告了召回计划，召回</w:t>
      </w:r>
      <w:r>
        <w:rPr>
          <w:rFonts w:hint="default"/>
          <w:sz w:val="24"/>
          <w:szCs w:val="24"/>
        </w:rPr>
        <w:t>2024年1月1日生产的鑫盈润牌型号规格为450mL的一次性塑料碗，涉及数量为164250套。 本次召回范围内的一次性塑料碗，因模具出现故障，致使产品底部出现裂缝或裂纹，消费者在微波炉加热等环境中使用时，容易造成高温食物渗漏、撒溅，可能烫伤消费者或造成不必要的财产损失。 </w:t>
      </w:r>
    </w:p>
    <w:p w14:paraId="2C493272">
      <w:pPr>
        <w:pStyle w:val="6"/>
        <w:spacing w:line="360" w:lineRule="auto"/>
        <w:ind w:firstLine="480" w:firstLineChars="200"/>
        <w:jc w:val="both"/>
        <w:rPr>
          <w:sz w:val="24"/>
          <w:szCs w:val="24"/>
        </w:rPr>
      </w:pPr>
      <w:r>
        <w:rPr>
          <w:rFonts w:hint="eastAsia"/>
          <w:sz w:val="24"/>
          <w:szCs w:val="24"/>
        </w:rPr>
        <w:t>2023年9月，山西若宇塑料制品有限公司按照《消费品召回管理暂行规定》的要求，主动向山西省市场监督管理局报告了召回计划，决定自即日起，召回2022年11月20日生产的若宇牌型号规格为1000ml方形的一次性塑料餐盒，涉及数量为12000套。本次召回范围内的一次性塑料餐盒，由于原材料质量存在差异，生产工艺把控不严，导致产品表面出现不规则的污点，易诱发微生物滋生，可能危害人体健康。</w:t>
      </w:r>
    </w:p>
    <w:p w14:paraId="0F20F7FD">
      <w:pPr>
        <w:pStyle w:val="6"/>
        <w:spacing w:line="360" w:lineRule="auto"/>
        <w:ind w:firstLine="480" w:firstLineChars="200"/>
        <w:jc w:val="both"/>
        <w:rPr>
          <w:sz w:val="24"/>
          <w:szCs w:val="24"/>
        </w:rPr>
      </w:pPr>
      <w:r>
        <w:rPr>
          <w:rFonts w:hint="eastAsia"/>
          <w:sz w:val="24"/>
          <w:szCs w:val="24"/>
        </w:rPr>
        <w:t>2023年9月，山西欧圣包装有限公司按照《消费品召回管理暂行规定》的要求，主动向山西省市场监督管理局报告了召回计划，决定自即日起，召回2022年12月4日生产的鑫欧圣牌型号规格为1000ml方盒的食品用微波快餐盒，涉及召回数量为16500个。本次召回范围内的食品用微波快餐盒，由于餐盒模具清洗维护不严格等原因导致产品表面不平整，易诱发微生物滋生，可能危害人体健康。</w:t>
      </w:r>
    </w:p>
    <w:p w14:paraId="30AB80AF">
      <w:pPr>
        <w:pStyle w:val="6"/>
        <w:spacing w:line="360" w:lineRule="auto"/>
        <w:ind w:firstLine="480" w:firstLineChars="200"/>
        <w:jc w:val="both"/>
        <w:rPr>
          <w:rFonts w:hint="eastAsia"/>
          <w:sz w:val="24"/>
          <w:szCs w:val="24"/>
        </w:rPr>
      </w:pPr>
      <w:r>
        <w:rPr>
          <w:rFonts w:hint="eastAsia"/>
          <w:sz w:val="24"/>
          <w:szCs w:val="24"/>
          <w:lang w:val="en-US" w:eastAsia="zh-CN"/>
        </w:rPr>
        <w:t>2023年9月，</w:t>
      </w:r>
      <w:r>
        <w:rPr>
          <w:rFonts w:hint="eastAsia"/>
          <w:sz w:val="24"/>
          <w:szCs w:val="24"/>
        </w:rPr>
        <w:t>山西康雨科技有限公司按照《消费品召回管理暂行规定》的要求，主动向山西省市场监督管理局报告了召回计划，召回202</w:t>
      </w:r>
      <w:r>
        <w:rPr>
          <w:rFonts w:hint="default"/>
          <w:sz w:val="24"/>
          <w:szCs w:val="24"/>
        </w:rPr>
        <w:t>3年3月26日生产的熊猫康康牌型号规格分别为1000圆和1250圆的一次性塑料餐盒，涉及召回数量分别为14700个和9800个。本次召回范围内的一次性塑料餐盒，由于原材料质量存在差异，生产工艺把控不严，导致产品表面出现不规则的污点，易诱发微生物滋生，可能危害人体健康。 </w:t>
      </w:r>
    </w:p>
    <w:p w14:paraId="00D5B675">
      <w:pPr>
        <w:pStyle w:val="6"/>
        <w:spacing w:line="360" w:lineRule="auto"/>
        <w:jc w:val="both"/>
        <w:rPr>
          <w:b/>
          <w:bCs/>
          <w:sz w:val="24"/>
          <w:szCs w:val="24"/>
        </w:rPr>
      </w:pPr>
      <w:r>
        <w:rPr>
          <w:rFonts w:hint="eastAsia"/>
          <w:b/>
          <w:bCs/>
          <w:sz w:val="24"/>
          <w:szCs w:val="24"/>
        </w:rPr>
        <w:t>（4）国外召回情况</w:t>
      </w:r>
    </w:p>
    <w:p w14:paraId="1D3B8C99">
      <w:pPr>
        <w:pStyle w:val="6"/>
        <w:spacing w:line="360" w:lineRule="auto"/>
        <w:jc w:val="center"/>
        <w:rPr>
          <w:bCs/>
          <w:sz w:val="24"/>
          <w:szCs w:val="24"/>
        </w:rPr>
      </w:pPr>
      <w:r>
        <w:rPr>
          <w:rFonts w:hint="eastAsia"/>
          <w:bCs/>
          <w:sz w:val="24"/>
          <w:szCs w:val="24"/>
        </w:rPr>
        <w:t>表1</w:t>
      </w:r>
      <w:r>
        <w:rPr>
          <w:bCs/>
          <w:sz w:val="24"/>
          <w:szCs w:val="24"/>
        </w:rPr>
        <w:t xml:space="preserve"> </w:t>
      </w:r>
      <w:r>
        <w:rPr>
          <w:rFonts w:hint="eastAsia"/>
          <w:bCs/>
          <w:sz w:val="24"/>
          <w:szCs w:val="24"/>
        </w:rPr>
        <w:t>国外召回情况表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939"/>
        <w:gridCol w:w="1411"/>
        <w:gridCol w:w="4797"/>
      </w:tblGrid>
      <w:tr w14:paraId="4E9B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21C567EB">
            <w:pPr>
              <w:pStyle w:val="6"/>
              <w:jc w:val="center"/>
              <w:rPr>
                <w:sz w:val="21"/>
                <w:szCs w:val="21"/>
              </w:rPr>
            </w:pPr>
            <w:r>
              <w:rPr>
                <w:rFonts w:hint="eastAsia"/>
                <w:sz w:val="21"/>
                <w:szCs w:val="21"/>
              </w:rPr>
              <w:t>通报时间</w:t>
            </w:r>
          </w:p>
        </w:tc>
        <w:tc>
          <w:tcPr>
            <w:tcW w:w="1131" w:type="dxa"/>
            <w:vAlign w:val="center"/>
          </w:tcPr>
          <w:p w14:paraId="2D306BCE">
            <w:pPr>
              <w:pStyle w:val="6"/>
              <w:jc w:val="center"/>
              <w:rPr>
                <w:sz w:val="21"/>
                <w:szCs w:val="21"/>
              </w:rPr>
            </w:pPr>
            <w:r>
              <w:rPr>
                <w:rFonts w:hint="eastAsia"/>
                <w:sz w:val="21"/>
                <w:szCs w:val="21"/>
              </w:rPr>
              <w:t>通报国</w:t>
            </w:r>
          </w:p>
        </w:tc>
        <w:tc>
          <w:tcPr>
            <w:tcW w:w="1701" w:type="dxa"/>
            <w:vAlign w:val="center"/>
          </w:tcPr>
          <w:p w14:paraId="35A47D1D">
            <w:pPr>
              <w:pStyle w:val="6"/>
              <w:jc w:val="center"/>
              <w:rPr>
                <w:sz w:val="21"/>
                <w:szCs w:val="21"/>
              </w:rPr>
            </w:pPr>
            <w:r>
              <w:rPr>
                <w:rFonts w:hint="eastAsia"/>
                <w:sz w:val="21"/>
                <w:szCs w:val="21"/>
              </w:rPr>
              <w:t>通报产品</w:t>
            </w:r>
          </w:p>
        </w:tc>
        <w:tc>
          <w:tcPr>
            <w:tcW w:w="5488" w:type="dxa"/>
            <w:vAlign w:val="center"/>
          </w:tcPr>
          <w:p w14:paraId="0260975F">
            <w:pPr>
              <w:pStyle w:val="6"/>
              <w:jc w:val="center"/>
              <w:rPr>
                <w:sz w:val="21"/>
                <w:szCs w:val="21"/>
              </w:rPr>
            </w:pPr>
            <w:r>
              <w:rPr>
                <w:rFonts w:hint="eastAsia"/>
                <w:sz w:val="21"/>
                <w:szCs w:val="21"/>
              </w:rPr>
              <w:t>通报原因</w:t>
            </w:r>
          </w:p>
        </w:tc>
      </w:tr>
      <w:tr w14:paraId="1F43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69E231E4">
            <w:pPr>
              <w:pStyle w:val="6"/>
              <w:jc w:val="center"/>
              <w:rPr>
                <w:rFonts w:hint="default" w:eastAsia="宋体"/>
                <w:sz w:val="21"/>
                <w:szCs w:val="21"/>
                <w:lang w:val="en-US" w:eastAsia="zh-CN"/>
              </w:rPr>
            </w:pPr>
            <w:r>
              <w:rPr>
                <w:rFonts w:hint="eastAsia"/>
                <w:sz w:val="21"/>
                <w:szCs w:val="21"/>
                <w:lang w:val="en-US" w:eastAsia="zh-CN"/>
              </w:rPr>
              <w:t>2024/11</w:t>
            </w:r>
          </w:p>
        </w:tc>
        <w:tc>
          <w:tcPr>
            <w:tcW w:w="1131" w:type="dxa"/>
            <w:vAlign w:val="center"/>
          </w:tcPr>
          <w:p w14:paraId="4BB6A649">
            <w:pPr>
              <w:pStyle w:val="6"/>
              <w:jc w:val="center"/>
              <w:rPr>
                <w:rFonts w:hint="default" w:eastAsia="宋体"/>
                <w:sz w:val="21"/>
                <w:szCs w:val="21"/>
                <w:lang w:val="en-US" w:eastAsia="zh-CN"/>
              </w:rPr>
            </w:pPr>
            <w:r>
              <w:rPr>
                <w:rFonts w:hint="eastAsia"/>
                <w:sz w:val="21"/>
                <w:szCs w:val="21"/>
                <w:lang w:val="en-US" w:eastAsia="zh-CN"/>
              </w:rPr>
              <w:t>丹麦</w:t>
            </w:r>
          </w:p>
        </w:tc>
        <w:tc>
          <w:tcPr>
            <w:tcW w:w="1701" w:type="dxa"/>
            <w:vAlign w:val="center"/>
          </w:tcPr>
          <w:p w14:paraId="06503F16">
            <w:pPr>
              <w:pStyle w:val="6"/>
              <w:jc w:val="center"/>
              <w:rPr>
                <w:rFonts w:hint="eastAsia" w:eastAsia="宋体"/>
                <w:sz w:val="21"/>
                <w:szCs w:val="21"/>
                <w:lang w:val="en-US" w:eastAsia="zh-CN"/>
              </w:rPr>
            </w:pPr>
            <w:r>
              <w:rPr>
                <w:rFonts w:hint="eastAsia"/>
                <w:sz w:val="21"/>
                <w:szCs w:val="21"/>
                <w:lang w:val="en-US" w:eastAsia="zh-CN"/>
              </w:rPr>
              <w:t>餐具勺</w:t>
            </w:r>
          </w:p>
        </w:tc>
        <w:tc>
          <w:tcPr>
            <w:tcW w:w="5488" w:type="dxa"/>
            <w:vAlign w:val="center"/>
          </w:tcPr>
          <w:p w14:paraId="7573282D">
            <w:pPr>
              <w:pStyle w:val="6"/>
              <w:jc w:val="center"/>
              <w:rPr>
                <w:rFonts w:hint="eastAsia" w:eastAsia="宋体"/>
                <w:sz w:val="21"/>
                <w:szCs w:val="21"/>
                <w:lang w:eastAsia="zh-CN"/>
              </w:rPr>
            </w:pPr>
            <w:r>
              <w:rPr>
                <w:rFonts w:hint="eastAsia"/>
                <w:sz w:val="21"/>
                <w:szCs w:val="21"/>
              </w:rPr>
              <w:t>由于生物降解材料的快速降解，勺子很容易破裂，形成小零件</w:t>
            </w:r>
            <w:r>
              <w:rPr>
                <w:rFonts w:hint="eastAsia"/>
                <w:sz w:val="21"/>
                <w:szCs w:val="21"/>
                <w:lang w:eastAsia="zh-CN"/>
              </w:rPr>
              <w:t>。</w:t>
            </w:r>
          </w:p>
        </w:tc>
      </w:tr>
      <w:tr w14:paraId="35D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474BDA2A">
            <w:pPr>
              <w:pStyle w:val="6"/>
              <w:jc w:val="center"/>
              <w:rPr>
                <w:sz w:val="21"/>
                <w:szCs w:val="21"/>
              </w:rPr>
            </w:pPr>
            <w:r>
              <w:rPr>
                <w:rFonts w:hint="eastAsia"/>
                <w:sz w:val="21"/>
                <w:szCs w:val="21"/>
              </w:rPr>
              <w:t>2024/6/27</w:t>
            </w:r>
          </w:p>
        </w:tc>
        <w:tc>
          <w:tcPr>
            <w:tcW w:w="1131" w:type="dxa"/>
            <w:vAlign w:val="center"/>
          </w:tcPr>
          <w:p w14:paraId="43FD63AF">
            <w:pPr>
              <w:pStyle w:val="6"/>
              <w:jc w:val="center"/>
              <w:rPr>
                <w:sz w:val="21"/>
                <w:szCs w:val="21"/>
              </w:rPr>
            </w:pPr>
            <w:r>
              <w:rPr>
                <w:rFonts w:hint="eastAsia"/>
                <w:sz w:val="21"/>
                <w:szCs w:val="21"/>
              </w:rPr>
              <w:t>西班牙</w:t>
            </w:r>
          </w:p>
        </w:tc>
        <w:tc>
          <w:tcPr>
            <w:tcW w:w="1701" w:type="dxa"/>
            <w:vAlign w:val="center"/>
          </w:tcPr>
          <w:p w14:paraId="6AE61606">
            <w:pPr>
              <w:pStyle w:val="6"/>
              <w:jc w:val="center"/>
              <w:rPr>
                <w:sz w:val="21"/>
                <w:szCs w:val="21"/>
              </w:rPr>
            </w:pPr>
            <w:r>
              <w:rPr>
                <w:rFonts w:hint="eastAsia"/>
                <w:sz w:val="21"/>
                <w:szCs w:val="21"/>
              </w:rPr>
              <w:t>塑料餐具</w:t>
            </w:r>
          </w:p>
        </w:tc>
        <w:tc>
          <w:tcPr>
            <w:tcW w:w="5488" w:type="dxa"/>
            <w:vAlign w:val="center"/>
          </w:tcPr>
          <w:p w14:paraId="17E7E223">
            <w:pPr>
              <w:pStyle w:val="6"/>
              <w:jc w:val="center"/>
              <w:rPr>
                <w:sz w:val="21"/>
                <w:szCs w:val="21"/>
              </w:rPr>
            </w:pPr>
            <w:r>
              <w:rPr>
                <w:rFonts w:hint="eastAsia"/>
                <w:sz w:val="21"/>
                <w:szCs w:val="21"/>
              </w:rPr>
              <w:t>物质迁移：甲醛迁移。</w:t>
            </w:r>
          </w:p>
        </w:tc>
      </w:tr>
      <w:tr w14:paraId="05E9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3163AEF9">
            <w:pPr>
              <w:pStyle w:val="6"/>
              <w:jc w:val="center"/>
              <w:rPr>
                <w:sz w:val="21"/>
                <w:szCs w:val="21"/>
              </w:rPr>
            </w:pPr>
            <w:r>
              <w:rPr>
                <w:rFonts w:hint="eastAsia"/>
                <w:sz w:val="21"/>
                <w:szCs w:val="21"/>
                <w:shd w:val="clear" w:color="auto" w:fill="FFFFFF"/>
              </w:rPr>
              <w:t>2024/3/19</w:t>
            </w:r>
          </w:p>
        </w:tc>
        <w:tc>
          <w:tcPr>
            <w:tcW w:w="1131" w:type="dxa"/>
            <w:vAlign w:val="center"/>
          </w:tcPr>
          <w:p w14:paraId="583C4552">
            <w:pPr>
              <w:pStyle w:val="6"/>
              <w:jc w:val="center"/>
              <w:rPr>
                <w:sz w:val="21"/>
                <w:szCs w:val="21"/>
              </w:rPr>
            </w:pPr>
            <w:r>
              <w:rPr>
                <w:rFonts w:hint="eastAsia"/>
                <w:sz w:val="21"/>
                <w:szCs w:val="21"/>
                <w:shd w:val="clear" w:color="auto" w:fill="FFFFFF"/>
              </w:rPr>
              <w:t>德国</w:t>
            </w:r>
          </w:p>
        </w:tc>
        <w:tc>
          <w:tcPr>
            <w:tcW w:w="1701" w:type="dxa"/>
            <w:vAlign w:val="center"/>
          </w:tcPr>
          <w:p w14:paraId="1B3C43D7">
            <w:pPr>
              <w:pStyle w:val="6"/>
              <w:jc w:val="center"/>
              <w:rPr>
                <w:sz w:val="21"/>
                <w:szCs w:val="21"/>
              </w:rPr>
            </w:pPr>
            <w:r>
              <w:rPr>
                <w:rFonts w:hint="eastAsia"/>
                <w:sz w:val="21"/>
                <w:szCs w:val="21"/>
                <w:shd w:val="clear" w:color="auto" w:fill="FFFFFF"/>
              </w:rPr>
              <w:t>聚丙烯食品盒</w:t>
            </w:r>
          </w:p>
        </w:tc>
        <w:tc>
          <w:tcPr>
            <w:tcW w:w="5488" w:type="dxa"/>
            <w:vAlign w:val="center"/>
          </w:tcPr>
          <w:p w14:paraId="72035BE7">
            <w:pPr>
              <w:pStyle w:val="6"/>
              <w:jc w:val="center"/>
              <w:rPr>
                <w:sz w:val="21"/>
                <w:szCs w:val="21"/>
              </w:rPr>
            </w:pPr>
            <w:r>
              <w:rPr>
                <w:rFonts w:hint="eastAsia"/>
                <w:sz w:val="21"/>
                <w:szCs w:val="21"/>
                <w:shd w:val="clear" w:color="auto" w:fill="FFFFFF"/>
              </w:rPr>
              <w:t>成分：未授权使用小麦。</w:t>
            </w:r>
          </w:p>
        </w:tc>
      </w:tr>
      <w:tr w14:paraId="2599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71AEA3E7">
            <w:pPr>
              <w:pStyle w:val="6"/>
              <w:jc w:val="center"/>
              <w:rPr>
                <w:sz w:val="21"/>
                <w:szCs w:val="21"/>
                <w:shd w:val="clear" w:color="auto" w:fill="FFFFFF"/>
              </w:rPr>
            </w:pPr>
            <w:r>
              <w:rPr>
                <w:rFonts w:hint="eastAsia"/>
                <w:sz w:val="21"/>
                <w:szCs w:val="21"/>
                <w:shd w:val="clear" w:color="auto" w:fill="FFFFFF"/>
              </w:rPr>
              <w:t>2023/12/19</w:t>
            </w:r>
          </w:p>
        </w:tc>
        <w:tc>
          <w:tcPr>
            <w:tcW w:w="1131" w:type="dxa"/>
            <w:vAlign w:val="center"/>
          </w:tcPr>
          <w:p w14:paraId="53D2D50B">
            <w:pPr>
              <w:pStyle w:val="6"/>
              <w:jc w:val="center"/>
              <w:rPr>
                <w:sz w:val="21"/>
                <w:szCs w:val="21"/>
                <w:shd w:val="clear" w:color="auto" w:fill="FFFFFF"/>
              </w:rPr>
            </w:pPr>
            <w:r>
              <w:rPr>
                <w:rFonts w:hint="eastAsia"/>
                <w:sz w:val="21"/>
                <w:szCs w:val="21"/>
                <w:shd w:val="clear" w:color="auto" w:fill="FFFFFF"/>
              </w:rPr>
              <w:t>马耳他</w:t>
            </w:r>
          </w:p>
        </w:tc>
        <w:tc>
          <w:tcPr>
            <w:tcW w:w="1701" w:type="dxa"/>
            <w:vAlign w:val="center"/>
          </w:tcPr>
          <w:p w14:paraId="5A43F836">
            <w:pPr>
              <w:pStyle w:val="6"/>
              <w:jc w:val="center"/>
              <w:rPr>
                <w:sz w:val="21"/>
                <w:szCs w:val="21"/>
                <w:shd w:val="clear" w:color="auto" w:fill="FFFFFF"/>
              </w:rPr>
            </w:pPr>
            <w:r>
              <w:rPr>
                <w:rFonts w:hint="eastAsia"/>
                <w:sz w:val="21"/>
                <w:szCs w:val="21"/>
                <w:shd w:val="clear" w:color="auto" w:fill="FFFFFF"/>
              </w:rPr>
              <w:t>竹纤维杯</w:t>
            </w:r>
          </w:p>
        </w:tc>
        <w:tc>
          <w:tcPr>
            <w:tcW w:w="5488" w:type="dxa"/>
            <w:vAlign w:val="center"/>
          </w:tcPr>
          <w:p w14:paraId="7C961B10">
            <w:pPr>
              <w:pStyle w:val="6"/>
              <w:jc w:val="center"/>
              <w:rPr>
                <w:sz w:val="21"/>
                <w:szCs w:val="21"/>
                <w:shd w:val="clear" w:color="auto" w:fill="FFFFFF"/>
              </w:rPr>
            </w:pPr>
            <w:r>
              <w:rPr>
                <w:rFonts w:hint="eastAsia"/>
                <w:sz w:val="21"/>
                <w:szCs w:val="21"/>
                <w:shd w:val="clear" w:color="auto" w:fill="FFFFFF"/>
              </w:rPr>
              <w:t>未经授权使用与塑料混合的竹纤维。</w:t>
            </w:r>
          </w:p>
        </w:tc>
      </w:tr>
      <w:tr w14:paraId="669F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7E8B8F1D">
            <w:pPr>
              <w:pStyle w:val="6"/>
              <w:jc w:val="center"/>
              <w:rPr>
                <w:sz w:val="21"/>
                <w:szCs w:val="21"/>
                <w:shd w:val="clear" w:color="auto" w:fill="FFFFFF"/>
              </w:rPr>
            </w:pPr>
            <w:r>
              <w:rPr>
                <w:rFonts w:hint="eastAsia"/>
                <w:sz w:val="21"/>
                <w:szCs w:val="21"/>
                <w:shd w:val="clear" w:color="auto" w:fill="FFFFFF"/>
              </w:rPr>
              <w:t>2023/12/6</w:t>
            </w:r>
          </w:p>
        </w:tc>
        <w:tc>
          <w:tcPr>
            <w:tcW w:w="1131" w:type="dxa"/>
            <w:vAlign w:val="center"/>
          </w:tcPr>
          <w:p w14:paraId="4AFE5268">
            <w:pPr>
              <w:pStyle w:val="6"/>
              <w:jc w:val="center"/>
              <w:rPr>
                <w:sz w:val="21"/>
                <w:szCs w:val="21"/>
                <w:shd w:val="clear" w:color="auto" w:fill="FFFFFF"/>
              </w:rPr>
            </w:pPr>
            <w:r>
              <w:rPr>
                <w:rFonts w:hint="eastAsia"/>
                <w:sz w:val="21"/>
                <w:szCs w:val="21"/>
                <w:shd w:val="clear" w:color="auto" w:fill="FFFFFF"/>
              </w:rPr>
              <w:t>波兰</w:t>
            </w:r>
          </w:p>
        </w:tc>
        <w:tc>
          <w:tcPr>
            <w:tcW w:w="1701" w:type="dxa"/>
            <w:vAlign w:val="center"/>
          </w:tcPr>
          <w:p w14:paraId="19AC37D3">
            <w:pPr>
              <w:pStyle w:val="6"/>
              <w:jc w:val="center"/>
              <w:rPr>
                <w:sz w:val="21"/>
                <w:szCs w:val="21"/>
                <w:shd w:val="clear" w:color="auto" w:fill="FFFFFF"/>
              </w:rPr>
            </w:pPr>
            <w:r>
              <w:rPr>
                <w:rFonts w:hint="eastAsia"/>
                <w:sz w:val="21"/>
                <w:szCs w:val="21"/>
                <w:shd w:val="clear" w:color="auto" w:fill="FFFFFF"/>
              </w:rPr>
              <w:t>聚丙烯盒子和瓶子</w:t>
            </w:r>
          </w:p>
        </w:tc>
        <w:tc>
          <w:tcPr>
            <w:tcW w:w="5488" w:type="dxa"/>
            <w:vAlign w:val="center"/>
          </w:tcPr>
          <w:p w14:paraId="7EE65D89">
            <w:pPr>
              <w:pStyle w:val="6"/>
              <w:jc w:val="center"/>
              <w:rPr>
                <w:sz w:val="21"/>
                <w:szCs w:val="21"/>
                <w:shd w:val="clear" w:color="auto" w:fill="FFFFFF"/>
              </w:rPr>
            </w:pPr>
            <w:r>
              <w:rPr>
                <w:rFonts w:hint="eastAsia"/>
                <w:sz w:val="21"/>
                <w:szCs w:val="21"/>
                <w:shd w:val="clear" w:color="auto" w:fill="FFFFFF"/>
              </w:rPr>
              <w:t>物质迁移:迁移量过高（37.9-+8.7； 39.5-+9.1；39.4-+9.1 mg/dm²）。</w:t>
            </w:r>
          </w:p>
        </w:tc>
      </w:tr>
      <w:tr w14:paraId="5E81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06740EEB">
            <w:pPr>
              <w:pStyle w:val="6"/>
              <w:jc w:val="center"/>
              <w:rPr>
                <w:sz w:val="21"/>
                <w:szCs w:val="21"/>
                <w:shd w:val="clear" w:color="auto" w:fill="FFFFFF"/>
              </w:rPr>
            </w:pPr>
            <w:r>
              <w:rPr>
                <w:rFonts w:hint="eastAsia"/>
                <w:sz w:val="21"/>
                <w:szCs w:val="21"/>
                <w:shd w:val="clear" w:color="auto" w:fill="FFFFFF"/>
              </w:rPr>
              <w:t>2023/11/30</w:t>
            </w:r>
          </w:p>
        </w:tc>
        <w:tc>
          <w:tcPr>
            <w:tcW w:w="1131" w:type="dxa"/>
            <w:vAlign w:val="center"/>
          </w:tcPr>
          <w:p w14:paraId="2D6D0186">
            <w:pPr>
              <w:pStyle w:val="6"/>
              <w:jc w:val="center"/>
              <w:rPr>
                <w:sz w:val="21"/>
                <w:szCs w:val="21"/>
                <w:shd w:val="clear" w:color="auto" w:fill="FFFFFF"/>
              </w:rPr>
            </w:pPr>
            <w:r>
              <w:rPr>
                <w:rFonts w:hint="eastAsia"/>
                <w:sz w:val="21"/>
                <w:szCs w:val="21"/>
                <w:shd w:val="clear" w:color="auto" w:fill="FFFFFF"/>
              </w:rPr>
              <w:t>马耳他</w:t>
            </w:r>
          </w:p>
        </w:tc>
        <w:tc>
          <w:tcPr>
            <w:tcW w:w="1701" w:type="dxa"/>
            <w:vAlign w:val="center"/>
          </w:tcPr>
          <w:p w14:paraId="49E03557">
            <w:pPr>
              <w:pStyle w:val="6"/>
              <w:jc w:val="center"/>
              <w:rPr>
                <w:sz w:val="21"/>
                <w:szCs w:val="21"/>
                <w:shd w:val="clear" w:color="auto" w:fill="FFFFFF"/>
              </w:rPr>
            </w:pPr>
            <w:r>
              <w:rPr>
                <w:rFonts w:hint="eastAsia"/>
                <w:sz w:val="21"/>
                <w:szCs w:val="21"/>
                <w:shd w:val="clear" w:color="auto" w:fill="FFFFFF"/>
              </w:rPr>
              <w:t>儿童餐具套装</w:t>
            </w:r>
          </w:p>
        </w:tc>
        <w:tc>
          <w:tcPr>
            <w:tcW w:w="5488" w:type="dxa"/>
            <w:vAlign w:val="center"/>
          </w:tcPr>
          <w:p w14:paraId="396B2545">
            <w:pPr>
              <w:pStyle w:val="6"/>
              <w:jc w:val="center"/>
              <w:rPr>
                <w:sz w:val="21"/>
                <w:szCs w:val="21"/>
                <w:shd w:val="clear" w:color="auto" w:fill="FFFFFF"/>
              </w:rPr>
            </w:pPr>
            <w:r>
              <w:rPr>
                <w:rFonts w:hint="eastAsia"/>
                <w:sz w:val="21"/>
                <w:szCs w:val="21"/>
                <w:shd w:val="clear" w:color="auto" w:fill="FFFFFF"/>
              </w:rPr>
              <w:t>未经授权使用与塑料混合的竹纤维。</w:t>
            </w:r>
          </w:p>
        </w:tc>
      </w:tr>
      <w:tr w14:paraId="6604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2CF0E12E">
            <w:pPr>
              <w:pStyle w:val="6"/>
              <w:jc w:val="center"/>
              <w:rPr>
                <w:sz w:val="21"/>
                <w:szCs w:val="21"/>
                <w:shd w:val="clear" w:color="auto" w:fill="FFFFFF"/>
              </w:rPr>
            </w:pPr>
            <w:r>
              <w:rPr>
                <w:rFonts w:hint="eastAsia"/>
                <w:sz w:val="21"/>
                <w:szCs w:val="21"/>
                <w:shd w:val="clear" w:color="auto" w:fill="FFFFFF"/>
              </w:rPr>
              <w:t>2023/11/20</w:t>
            </w:r>
          </w:p>
        </w:tc>
        <w:tc>
          <w:tcPr>
            <w:tcW w:w="1131" w:type="dxa"/>
            <w:vAlign w:val="center"/>
          </w:tcPr>
          <w:p w14:paraId="2FFB740F">
            <w:pPr>
              <w:pStyle w:val="6"/>
              <w:jc w:val="center"/>
              <w:rPr>
                <w:sz w:val="21"/>
                <w:szCs w:val="21"/>
                <w:shd w:val="clear" w:color="auto" w:fill="FFFFFF"/>
              </w:rPr>
            </w:pPr>
            <w:r>
              <w:rPr>
                <w:rFonts w:hint="eastAsia"/>
                <w:sz w:val="21"/>
                <w:szCs w:val="21"/>
                <w:shd w:val="clear" w:color="auto" w:fill="FFFFFF"/>
              </w:rPr>
              <w:t>爱尔兰</w:t>
            </w:r>
          </w:p>
        </w:tc>
        <w:tc>
          <w:tcPr>
            <w:tcW w:w="1701" w:type="dxa"/>
            <w:vAlign w:val="center"/>
          </w:tcPr>
          <w:p w14:paraId="5CA02ED3">
            <w:pPr>
              <w:pStyle w:val="6"/>
              <w:jc w:val="center"/>
              <w:rPr>
                <w:sz w:val="21"/>
                <w:szCs w:val="21"/>
                <w:shd w:val="clear" w:color="auto" w:fill="FFFFFF"/>
              </w:rPr>
            </w:pPr>
            <w:r>
              <w:rPr>
                <w:rFonts w:hint="eastAsia"/>
                <w:sz w:val="21"/>
                <w:szCs w:val="21"/>
                <w:shd w:val="clear" w:color="auto" w:fill="FFFFFF"/>
              </w:rPr>
              <w:t>碗、盘子、杯子和餐具</w:t>
            </w:r>
          </w:p>
        </w:tc>
        <w:tc>
          <w:tcPr>
            <w:tcW w:w="5488" w:type="dxa"/>
            <w:vAlign w:val="center"/>
          </w:tcPr>
          <w:p w14:paraId="08314A85">
            <w:pPr>
              <w:pStyle w:val="6"/>
              <w:jc w:val="center"/>
              <w:rPr>
                <w:sz w:val="21"/>
                <w:szCs w:val="21"/>
                <w:shd w:val="clear" w:color="auto" w:fill="FFFFFF"/>
              </w:rPr>
            </w:pPr>
            <w:r>
              <w:rPr>
                <w:rFonts w:hint="eastAsia"/>
                <w:sz w:val="21"/>
                <w:szCs w:val="21"/>
                <w:shd w:val="clear" w:color="auto" w:fill="FFFFFF"/>
              </w:rPr>
              <w:t>含小麦秸秆和聚丙烯。</w:t>
            </w:r>
          </w:p>
        </w:tc>
      </w:tr>
      <w:tr w14:paraId="4E30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54A5C6E9">
            <w:pPr>
              <w:pStyle w:val="6"/>
              <w:jc w:val="center"/>
              <w:rPr>
                <w:sz w:val="21"/>
                <w:szCs w:val="21"/>
                <w:shd w:val="clear" w:color="auto" w:fill="FFFFFF"/>
              </w:rPr>
            </w:pPr>
            <w:r>
              <w:rPr>
                <w:rFonts w:hint="eastAsia"/>
                <w:sz w:val="21"/>
                <w:szCs w:val="21"/>
                <w:shd w:val="clear" w:color="auto" w:fill="FFFFFF"/>
              </w:rPr>
              <w:t>2023/6/7</w:t>
            </w:r>
          </w:p>
        </w:tc>
        <w:tc>
          <w:tcPr>
            <w:tcW w:w="1131" w:type="dxa"/>
            <w:vAlign w:val="center"/>
          </w:tcPr>
          <w:p w14:paraId="76CCBFE5">
            <w:pPr>
              <w:pStyle w:val="6"/>
              <w:jc w:val="center"/>
              <w:rPr>
                <w:sz w:val="21"/>
                <w:szCs w:val="21"/>
                <w:shd w:val="clear" w:color="auto" w:fill="FFFFFF"/>
              </w:rPr>
            </w:pPr>
            <w:r>
              <w:rPr>
                <w:rFonts w:hint="eastAsia"/>
                <w:sz w:val="21"/>
                <w:szCs w:val="21"/>
                <w:shd w:val="clear" w:color="auto" w:fill="FFFFFF"/>
              </w:rPr>
              <w:t>爱尔兰</w:t>
            </w:r>
          </w:p>
        </w:tc>
        <w:tc>
          <w:tcPr>
            <w:tcW w:w="1701" w:type="dxa"/>
            <w:vAlign w:val="center"/>
          </w:tcPr>
          <w:p w14:paraId="27EA9992">
            <w:pPr>
              <w:pStyle w:val="6"/>
              <w:jc w:val="center"/>
              <w:rPr>
                <w:sz w:val="21"/>
                <w:szCs w:val="21"/>
                <w:shd w:val="clear" w:color="auto" w:fill="FFFFFF"/>
              </w:rPr>
            </w:pPr>
            <w:r>
              <w:rPr>
                <w:rFonts w:hint="eastAsia"/>
                <w:sz w:val="21"/>
                <w:szCs w:val="21"/>
                <w:shd w:val="clear" w:color="auto" w:fill="FFFFFF"/>
              </w:rPr>
              <w:t>尼龙汤匙</w:t>
            </w:r>
          </w:p>
        </w:tc>
        <w:tc>
          <w:tcPr>
            <w:tcW w:w="5488" w:type="dxa"/>
            <w:vAlign w:val="center"/>
          </w:tcPr>
          <w:p w14:paraId="6E1246BC">
            <w:pPr>
              <w:pStyle w:val="6"/>
              <w:jc w:val="center"/>
              <w:rPr>
                <w:sz w:val="21"/>
                <w:szCs w:val="21"/>
                <w:shd w:val="clear" w:color="auto" w:fill="FFFFFF"/>
              </w:rPr>
            </w:pPr>
            <w:r>
              <w:rPr>
                <w:rFonts w:hint="eastAsia"/>
                <w:sz w:val="21"/>
                <w:szCs w:val="21"/>
                <w:shd w:val="clear" w:color="auto" w:fill="FFFFFF"/>
              </w:rPr>
              <w:t>物质迁移：初级芳香胺迁移（</w:t>
            </w:r>
            <w:r>
              <w:rPr>
                <w:sz w:val="21"/>
                <w:szCs w:val="21"/>
                <w:shd w:val="clear" w:color="auto" w:fill="FFFFFF"/>
              </w:rPr>
              <w:t>0.0038 ± 0.0004, 0.0035± 0.0004,  0.0038 ± 0.0004 mg/kg - ppm</w:t>
            </w:r>
            <w:r>
              <w:rPr>
                <w:rFonts w:hint="eastAsia"/>
                <w:sz w:val="21"/>
                <w:szCs w:val="21"/>
                <w:shd w:val="clear" w:color="auto" w:fill="FFFFFF"/>
              </w:rPr>
              <w:t>）。</w:t>
            </w:r>
          </w:p>
        </w:tc>
      </w:tr>
      <w:tr w14:paraId="7085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377EEAE0">
            <w:pPr>
              <w:pStyle w:val="6"/>
              <w:jc w:val="center"/>
              <w:rPr>
                <w:sz w:val="21"/>
                <w:szCs w:val="21"/>
                <w:shd w:val="clear" w:color="auto" w:fill="FFFFFF"/>
              </w:rPr>
            </w:pPr>
            <w:r>
              <w:rPr>
                <w:rFonts w:hint="eastAsia"/>
                <w:sz w:val="21"/>
                <w:szCs w:val="21"/>
                <w:shd w:val="clear" w:color="auto" w:fill="FFFFFF"/>
              </w:rPr>
              <w:t>2023/5/9</w:t>
            </w:r>
          </w:p>
        </w:tc>
        <w:tc>
          <w:tcPr>
            <w:tcW w:w="1131" w:type="dxa"/>
            <w:vAlign w:val="center"/>
          </w:tcPr>
          <w:p w14:paraId="1B055A42">
            <w:pPr>
              <w:pStyle w:val="6"/>
              <w:jc w:val="center"/>
              <w:rPr>
                <w:sz w:val="21"/>
                <w:szCs w:val="21"/>
                <w:shd w:val="clear" w:color="auto" w:fill="FFFFFF"/>
              </w:rPr>
            </w:pPr>
            <w:r>
              <w:rPr>
                <w:rFonts w:hint="eastAsia"/>
                <w:sz w:val="21"/>
                <w:szCs w:val="21"/>
                <w:shd w:val="clear" w:color="auto" w:fill="FFFFFF"/>
              </w:rPr>
              <w:t>爱尔兰</w:t>
            </w:r>
          </w:p>
        </w:tc>
        <w:tc>
          <w:tcPr>
            <w:tcW w:w="1701" w:type="dxa"/>
            <w:vAlign w:val="center"/>
          </w:tcPr>
          <w:p w14:paraId="3764695F">
            <w:pPr>
              <w:pStyle w:val="6"/>
              <w:jc w:val="center"/>
              <w:rPr>
                <w:sz w:val="21"/>
                <w:szCs w:val="21"/>
                <w:shd w:val="clear" w:color="auto" w:fill="FFFFFF"/>
              </w:rPr>
            </w:pPr>
            <w:r>
              <w:rPr>
                <w:rFonts w:hint="eastAsia"/>
                <w:sz w:val="21"/>
                <w:szCs w:val="21"/>
                <w:shd w:val="clear" w:color="auto" w:fill="FFFFFF"/>
              </w:rPr>
              <w:t>尼龙汤匙</w:t>
            </w:r>
          </w:p>
        </w:tc>
        <w:tc>
          <w:tcPr>
            <w:tcW w:w="5488" w:type="dxa"/>
            <w:vAlign w:val="center"/>
          </w:tcPr>
          <w:p w14:paraId="222B41B9">
            <w:pPr>
              <w:pStyle w:val="6"/>
              <w:jc w:val="center"/>
              <w:rPr>
                <w:sz w:val="21"/>
                <w:szCs w:val="21"/>
                <w:shd w:val="clear" w:color="auto" w:fill="FFFFFF"/>
              </w:rPr>
            </w:pPr>
            <w:r>
              <w:rPr>
                <w:rFonts w:hint="eastAsia"/>
                <w:sz w:val="21"/>
                <w:szCs w:val="21"/>
                <w:shd w:val="clear" w:color="auto" w:fill="FFFFFF"/>
              </w:rPr>
              <w:t>物质迁移：初级芳香胺迁移（</w:t>
            </w:r>
            <w:r>
              <w:rPr>
                <w:sz w:val="21"/>
                <w:szCs w:val="21"/>
                <w:shd w:val="clear" w:color="auto" w:fill="FFFFFF"/>
              </w:rPr>
              <w:t>1.0656 ± 0.1194, 0.7489 ± 0.0838, 1.0987 ± 0.1231 mg/kg - ppm</w:t>
            </w:r>
            <w:r>
              <w:rPr>
                <w:rFonts w:hint="eastAsia"/>
                <w:sz w:val="21"/>
                <w:szCs w:val="21"/>
                <w:shd w:val="clear" w:color="auto" w:fill="FFFFFF"/>
              </w:rPr>
              <w:t>）。</w:t>
            </w:r>
          </w:p>
        </w:tc>
      </w:tr>
      <w:tr w14:paraId="1483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3C1EC13F">
            <w:pPr>
              <w:pStyle w:val="6"/>
              <w:jc w:val="center"/>
              <w:rPr>
                <w:color w:val="000000"/>
                <w:sz w:val="21"/>
                <w:szCs w:val="21"/>
                <w:shd w:val="clear" w:color="auto" w:fill="FFFFFF"/>
              </w:rPr>
            </w:pPr>
            <w:r>
              <w:rPr>
                <w:rFonts w:hint="eastAsia"/>
                <w:sz w:val="21"/>
                <w:szCs w:val="21"/>
              </w:rPr>
              <w:t>2020/1/2</w:t>
            </w:r>
          </w:p>
        </w:tc>
        <w:tc>
          <w:tcPr>
            <w:tcW w:w="1131" w:type="dxa"/>
            <w:vAlign w:val="center"/>
          </w:tcPr>
          <w:p w14:paraId="02E855BF">
            <w:pPr>
              <w:pStyle w:val="6"/>
              <w:jc w:val="center"/>
              <w:rPr>
                <w:color w:val="000000"/>
                <w:sz w:val="21"/>
                <w:szCs w:val="21"/>
                <w:shd w:val="clear" w:color="auto" w:fill="FFFFFF"/>
              </w:rPr>
            </w:pPr>
            <w:r>
              <w:rPr>
                <w:rFonts w:hint="eastAsia"/>
                <w:sz w:val="21"/>
                <w:szCs w:val="21"/>
              </w:rPr>
              <w:t>立陶宛</w:t>
            </w:r>
          </w:p>
        </w:tc>
        <w:tc>
          <w:tcPr>
            <w:tcW w:w="1701" w:type="dxa"/>
            <w:vAlign w:val="center"/>
          </w:tcPr>
          <w:p w14:paraId="262E3B48">
            <w:pPr>
              <w:pStyle w:val="6"/>
              <w:jc w:val="center"/>
              <w:rPr>
                <w:color w:val="000000"/>
                <w:sz w:val="21"/>
                <w:szCs w:val="21"/>
                <w:shd w:val="clear" w:color="auto" w:fill="FFFFFF"/>
              </w:rPr>
            </w:pPr>
            <w:r>
              <w:rPr>
                <w:rFonts w:hint="eastAsia"/>
                <w:sz w:val="21"/>
                <w:szCs w:val="21"/>
              </w:rPr>
              <w:t>一次性生物基降解餐具</w:t>
            </w:r>
          </w:p>
        </w:tc>
        <w:tc>
          <w:tcPr>
            <w:tcW w:w="5488" w:type="dxa"/>
            <w:vAlign w:val="center"/>
          </w:tcPr>
          <w:p w14:paraId="56A50A28">
            <w:pPr>
              <w:pStyle w:val="6"/>
              <w:jc w:val="center"/>
              <w:rPr>
                <w:color w:val="000000"/>
                <w:sz w:val="21"/>
                <w:szCs w:val="21"/>
                <w:shd w:val="clear" w:color="auto" w:fill="FFFFFF"/>
              </w:rPr>
            </w:pPr>
            <w:r>
              <w:rPr>
                <w:rFonts w:hint="eastAsia"/>
                <w:sz w:val="21"/>
                <w:szCs w:val="21"/>
              </w:rPr>
              <w:t>物质迁移：迁移量过高。</w:t>
            </w:r>
          </w:p>
        </w:tc>
      </w:tr>
    </w:tbl>
    <w:p w14:paraId="6DAFA937">
      <w:pPr>
        <w:pStyle w:val="3"/>
      </w:pPr>
      <w:r>
        <w:t>1</w:t>
      </w:r>
      <w:r>
        <w:rPr>
          <w:rFonts w:hint="eastAsia"/>
        </w:rPr>
        <w:t>.3国内外</w:t>
      </w:r>
      <w:r>
        <w:t>标准</w:t>
      </w:r>
      <w:r>
        <w:rPr>
          <w:rFonts w:hint="eastAsia"/>
        </w:rPr>
        <w:t>概述</w:t>
      </w:r>
    </w:p>
    <w:p w14:paraId="46A6F936">
      <w:pPr>
        <w:pStyle w:val="6"/>
        <w:spacing w:line="360" w:lineRule="auto"/>
        <w:ind w:firstLine="480" w:firstLineChars="200"/>
        <w:jc w:val="both"/>
        <w:rPr>
          <w:rFonts w:hint="default" w:eastAsia="宋体"/>
          <w:sz w:val="24"/>
          <w:szCs w:val="24"/>
          <w:lang w:val="en-US" w:eastAsia="zh-CN"/>
        </w:rPr>
      </w:pPr>
      <w:r>
        <w:rPr>
          <w:sz w:val="24"/>
          <w:szCs w:val="24"/>
        </w:rPr>
        <w:t>GB 4806.1～GB 4806.1</w:t>
      </w:r>
      <w:r>
        <w:rPr>
          <w:rFonts w:hint="eastAsia"/>
          <w:sz w:val="24"/>
          <w:szCs w:val="24"/>
          <w:lang w:val="en-US" w:eastAsia="zh-CN"/>
        </w:rPr>
        <w:t>5</w:t>
      </w:r>
      <w:r>
        <w:rPr>
          <w:sz w:val="24"/>
          <w:szCs w:val="24"/>
        </w:rPr>
        <w:t>系列标准，构成了较为完善的国家强制性食品相关产品系列标准</w:t>
      </w:r>
      <w:r>
        <w:rPr>
          <w:rFonts w:hint="eastAsia"/>
          <w:sz w:val="24"/>
          <w:szCs w:val="24"/>
          <w:lang w:eastAsia="zh-CN"/>
        </w:rPr>
        <w:t>，</w:t>
      </w:r>
      <w:r>
        <w:rPr>
          <w:rFonts w:hint="eastAsia"/>
          <w:sz w:val="24"/>
          <w:szCs w:val="24"/>
          <w:lang w:val="en-US" w:eastAsia="zh-CN"/>
        </w:rPr>
        <w:t>近两年，标准部门对部分标准进行了更新，以适应新形势下产品质量对标准的需求。</w:t>
      </w:r>
      <w:r>
        <w:rPr>
          <w:sz w:val="24"/>
          <w:szCs w:val="24"/>
        </w:rPr>
        <w:t xml:space="preserve">GB 4806.7-2023《食品安全国家标准 </w:t>
      </w:r>
      <w:r>
        <w:rPr>
          <w:rFonts w:hint="eastAsia"/>
          <w:sz w:val="24"/>
          <w:szCs w:val="24"/>
        </w:rPr>
        <w:t>食品接触用塑料材料及制品》于</w:t>
      </w:r>
      <w:r>
        <w:rPr>
          <w:sz w:val="24"/>
          <w:szCs w:val="24"/>
        </w:rPr>
        <w:t>2023年9月6日发布，2024年9月6日实施，</w:t>
      </w:r>
      <w:r>
        <w:rPr>
          <w:rFonts w:hint="eastAsia"/>
          <w:sz w:val="24"/>
          <w:szCs w:val="24"/>
          <w:lang w:val="en-US" w:eastAsia="zh-CN"/>
        </w:rPr>
        <w:t>标准适用于食品接触用塑料材料及制品，规定了其原料要求、感官要求及理化指标要求等。</w:t>
      </w:r>
    </w:p>
    <w:p w14:paraId="527A90BF">
      <w:pPr>
        <w:pStyle w:val="6"/>
        <w:spacing w:line="360" w:lineRule="auto"/>
        <w:ind w:firstLine="480" w:firstLineChars="200"/>
        <w:jc w:val="both"/>
        <w:rPr>
          <w:sz w:val="24"/>
          <w:szCs w:val="24"/>
        </w:rPr>
      </w:pPr>
      <w:r>
        <w:rPr>
          <w:rFonts w:hint="eastAsia"/>
          <w:sz w:val="24"/>
          <w:szCs w:val="24"/>
        </w:rPr>
        <w:t>塑料一次性餐饮具产品相关标准有GB/T 18006.1-2009《塑料一次性餐饮具通用技术要求》等；食品用塑料容器产品相关标准有</w:t>
      </w:r>
      <w:r>
        <w:rPr>
          <w:sz w:val="24"/>
          <w:szCs w:val="24"/>
        </w:rPr>
        <w:t>GB/T 17876-2010 </w:t>
      </w:r>
      <w:r>
        <w:rPr>
          <w:rFonts w:hint="eastAsia"/>
          <w:sz w:val="24"/>
          <w:szCs w:val="24"/>
        </w:rPr>
        <w:t>《包装容器 塑料防盗瓶盖》、GB/T 32094-2015《塑料保鲜盒》、</w:t>
      </w:r>
      <w:r>
        <w:rPr>
          <w:sz w:val="24"/>
          <w:szCs w:val="24"/>
        </w:rPr>
        <w:t>BB/T 0025-2004</w:t>
      </w:r>
      <w:r>
        <w:rPr>
          <w:rFonts w:hint="eastAsia"/>
          <w:sz w:val="24"/>
          <w:szCs w:val="24"/>
          <w:lang w:val="en-US" w:eastAsia="zh-CN"/>
        </w:rPr>
        <w:t xml:space="preserve"> </w:t>
      </w:r>
      <w:r>
        <w:rPr>
          <w:rFonts w:hint="eastAsia"/>
          <w:sz w:val="24"/>
          <w:szCs w:val="24"/>
        </w:rPr>
        <w:t>《</w:t>
      </w:r>
      <w:r>
        <w:rPr>
          <w:sz w:val="24"/>
          <w:szCs w:val="24"/>
        </w:rPr>
        <w:t>30/25mm</w:t>
      </w:r>
      <w:r>
        <w:rPr>
          <w:rFonts w:hint="eastAsia"/>
          <w:sz w:val="24"/>
          <w:szCs w:val="24"/>
        </w:rPr>
        <w:t>塑料防盗瓶盖》、</w:t>
      </w:r>
      <w:r>
        <w:rPr>
          <w:sz w:val="24"/>
          <w:szCs w:val="24"/>
        </w:rPr>
        <w:t>QB/T 2933-2021</w:t>
      </w:r>
      <w:r>
        <w:rPr>
          <w:rFonts w:hint="eastAsia"/>
          <w:sz w:val="24"/>
          <w:szCs w:val="24"/>
        </w:rPr>
        <w:t>《双层口杯》、QB/T 4049-2021《塑料饮水口杯》、QB/T 4882-2015《日用塑料水壶》</w:t>
      </w:r>
      <w:r>
        <w:rPr>
          <w:rFonts w:hint="eastAsia"/>
          <w:sz w:val="24"/>
          <w:szCs w:val="24"/>
          <w:lang w:val="en-US" w:eastAsia="zh-CN"/>
        </w:rPr>
        <w:t>及产品明示的企业标准</w:t>
      </w:r>
      <w:r>
        <w:rPr>
          <w:rFonts w:hint="eastAsia"/>
          <w:sz w:val="24"/>
          <w:szCs w:val="24"/>
        </w:rPr>
        <w:t>等。</w:t>
      </w:r>
    </w:p>
    <w:p w14:paraId="45139D4B">
      <w:pPr>
        <w:pStyle w:val="6"/>
        <w:spacing w:line="360" w:lineRule="auto"/>
        <w:ind w:firstLine="480" w:firstLineChars="200"/>
        <w:jc w:val="both"/>
        <w:rPr>
          <w:sz w:val="24"/>
          <w:szCs w:val="24"/>
        </w:rPr>
      </w:pPr>
      <w:r>
        <w:rPr>
          <w:rFonts w:hint="eastAsia"/>
          <w:sz w:val="24"/>
          <w:szCs w:val="24"/>
        </w:rPr>
        <w:t>食品接触用塑料制品国外相关法规标准包括欧盟-</w:t>
      </w:r>
      <w:r>
        <w:rPr>
          <w:sz w:val="24"/>
          <w:szCs w:val="24"/>
        </w:rPr>
        <w:t>欧盟委员会规例第10/2011号 用于接触食物的塑料材料和物品(EU)No10/2011及其修订法规</w:t>
      </w:r>
      <w:r>
        <w:rPr>
          <w:rFonts w:hint="eastAsia"/>
          <w:sz w:val="24"/>
          <w:szCs w:val="24"/>
        </w:rPr>
        <w:t>，它规定了塑料材料和制品在接触食品时的安全性要求</w:t>
      </w:r>
      <w:r>
        <w:rPr>
          <w:sz w:val="24"/>
          <w:szCs w:val="24"/>
        </w:rPr>
        <w:t>；德国--食品、日常用品和饲料法规（食品和饲料法规—LFGB）;法国——法国竞争、消费者事务及反欺诈局（DGCCRF）发布的关于无机食品接触材料（不包括金属）、合成纤维及植物纤维等制成的食品接触材料的新标准NI2014-108 DM/4B/COM/002、NI2014-108 DM/4B/COM/003以及NI2014-108 DM/4B/COM/004，其中NI2014-108 DM/4B/COM/003是属于塑料及塑料制品的；美国--FDA食品法规：美国联邦管理法规第21篇第1章第70～74/100～199部分，其中美国联邦管理法规第21篇第1章第175（FDA 21 CFR 175）和177（FDA 21 CFR 177）部分属于塑料和塑料制品；日本--日本厚生省颁布的食品卫生条例第370公告。</w:t>
      </w:r>
    </w:p>
    <w:p w14:paraId="1C8627E1">
      <w:pPr>
        <w:pStyle w:val="6"/>
        <w:spacing w:line="360" w:lineRule="auto"/>
        <w:ind w:firstLine="480" w:firstLineChars="200"/>
        <w:jc w:val="both"/>
        <w:rPr>
          <w:sz w:val="24"/>
          <w:szCs w:val="24"/>
        </w:rPr>
      </w:pPr>
      <w:r>
        <w:rPr>
          <w:rFonts w:hint="eastAsia"/>
          <w:sz w:val="24"/>
          <w:szCs w:val="24"/>
        </w:rPr>
        <w:t>在进行一次性塑料餐具的检测时，除了遵循上述标准，还应考虑产品目标市场的具体要求，因为不同国家和地区可能有不同的法规和标准。同时，随着环保意识的提高，生物降解性能的检测也变得越来越重要，相关的国际标准如</w:t>
      </w:r>
      <w:r>
        <w:rPr>
          <w:sz w:val="24"/>
          <w:szCs w:val="24"/>
        </w:rPr>
        <w:t>ISO 14855系列和ASTM D6400等，也常被用于评估产品的可降解性。</w:t>
      </w:r>
    </w:p>
    <w:p w14:paraId="23DA5A0C">
      <w:pPr>
        <w:pStyle w:val="2"/>
      </w:pPr>
      <w:r>
        <w:rPr>
          <w:rFonts w:hint="eastAsia"/>
        </w:rPr>
        <w:t>二、风险监测的必要性</w:t>
      </w:r>
    </w:p>
    <w:p w14:paraId="042B0FFE">
      <w:pPr>
        <w:ind w:firstLine="480" w:firstLineChars="200"/>
        <w:rPr>
          <w:rFonts w:hint="eastAsia" w:eastAsia="宋体"/>
          <w:lang w:val="en-US" w:eastAsia="zh-CN"/>
        </w:rPr>
      </w:pPr>
      <w:r>
        <w:rPr>
          <w:rFonts w:hint="eastAsia"/>
        </w:rPr>
        <w:t>食品相关产品对食品安全有着重大的影响，国内外都将食品相关产品安全视为食品安全范畴内的问题，制定了各种法规和标准进行监管。本次风险监测主要针对一次性塑料餐饮具，针对一次性塑料餐饮具产品存在的风险对应的检测项目主要有总迁移量</w:t>
      </w:r>
      <w:r>
        <w:rPr>
          <w:rFonts w:hint="eastAsia"/>
          <w:lang w:eastAsia="zh-CN"/>
        </w:rPr>
        <w:t>、</w:t>
      </w:r>
      <w:r>
        <w:rPr>
          <w:rFonts w:hint="eastAsia"/>
        </w:rPr>
        <w:t>重金属（以Pb计）</w:t>
      </w:r>
      <w:r>
        <w:rPr>
          <w:rFonts w:hint="eastAsia"/>
          <w:lang w:eastAsia="zh-CN"/>
        </w:rPr>
        <w:t>、</w:t>
      </w:r>
      <w:r>
        <w:rPr>
          <w:rFonts w:hint="eastAsia"/>
        </w:rPr>
        <w:t>芳香族伯胺迁移总量</w:t>
      </w:r>
      <w:r>
        <w:rPr>
          <w:rFonts w:hint="eastAsia"/>
          <w:lang w:eastAsia="zh-CN"/>
        </w:rPr>
        <w:t>、</w:t>
      </w:r>
      <w:r>
        <w:rPr>
          <w:rFonts w:hint="eastAsia"/>
        </w:rPr>
        <w:t>邻苯二甲酸酯特定迁移量</w:t>
      </w:r>
      <w:r>
        <w:rPr>
          <w:rFonts w:hint="eastAsia"/>
          <w:lang w:val="en-US" w:eastAsia="zh-CN"/>
        </w:rPr>
        <w:t>项目。</w:t>
      </w:r>
    </w:p>
    <w:p w14:paraId="5AF29BE4">
      <w:pPr>
        <w:pStyle w:val="3"/>
        <w:rPr>
          <w:rFonts w:hint="default"/>
          <w:lang w:val="en-US" w:eastAsia="zh-CN"/>
        </w:rPr>
      </w:pPr>
      <w:r>
        <w:rPr>
          <w:rFonts w:hint="eastAsia"/>
          <w:lang w:val="en-US" w:eastAsia="zh-CN"/>
        </w:rPr>
        <w:t>2.1总迁移量</w:t>
      </w:r>
    </w:p>
    <w:p w14:paraId="233D177F">
      <w:pPr>
        <w:ind w:firstLine="480" w:firstLineChars="200"/>
      </w:pPr>
      <w:r>
        <w:rPr>
          <w:rFonts w:hint="eastAsia"/>
        </w:rPr>
        <w:t>总迁移量是指食品接触材料在水、模拟醋、模拟酒、模拟油等食品模拟液中于一定条件下浸泡后，将浸泡液蒸干所得的不挥发性物质的总量。一些生产企业为了降低成本或是对原料查验把关不严，使用了不合格的原材料，或者是企业未根据产品预期使用条件（接触食品类型、温度等）选用合适的原辅材料，对生产工艺把控不严，容易造成食品接触材料中的塑料制品的总迁移量不合格。</w:t>
      </w:r>
      <w:r>
        <w:rPr>
          <w:rFonts w:hint="eastAsia"/>
          <w:lang w:val="en-US" w:eastAsia="zh-CN"/>
        </w:rPr>
        <w:t>总迁移量不合格的产品，会导致有害元素迁移至食品中，</w:t>
      </w:r>
      <w:r>
        <w:rPr>
          <w:rFonts w:hint="eastAsia"/>
        </w:rPr>
        <w:t>人体过多吸收这些物质将有害健康，此外迁移物质还会直接影响食品的色、香、味</w:t>
      </w:r>
      <w:r>
        <w:rPr>
          <w:rFonts w:hint="eastAsia" w:cs="Arial" w:asciiTheme="minorEastAsia" w:hAnsiTheme="minorEastAsia"/>
          <w:sz w:val="24"/>
          <w:szCs w:val="24"/>
          <w:shd w:val="clear" w:color="auto" w:fill="FFFFFF"/>
        </w:rPr>
        <w:t>等食用质量。</w:t>
      </w:r>
      <w:r>
        <w:rPr>
          <w:rFonts w:hint="eastAsia"/>
        </w:rPr>
        <w:t>因此，本次</w:t>
      </w:r>
      <w:r>
        <w:t>风险监测对</w:t>
      </w:r>
      <w:r>
        <w:rPr>
          <w:rFonts w:hint="eastAsia"/>
        </w:rPr>
        <w:t>一次性塑料餐饮具的</w:t>
      </w:r>
      <w:r>
        <w:rPr>
          <w:rFonts w:hint="eastAsia"/>
          <w:lang w:val="en-US" w:eastAsia="zh-CN"/>
        </w:rPr>
        <w:t>总迁移量</w:t>
      </w:r>
      <w:r>
        <w:rPr>
          <w:rFonts w:hint="eastAsia"/>
        </w:rPr>
        <w:t>进行</w:t>
      </w:r>
      <w:r>
        <w:t>检测。</w:t>
      </w:r>
    </w:p>
    <w:p w14:paraId="1B748C13">
      <w:pPr>
        <w:pStyle w:val="3"/>
        <w:rPr>
          <w:rFonts w:hint="default"/>
          <w:lang w:val="en-US" w:eastAsia="zh-CN"/>
        </w:rPr>
      </w:pPr>
      <w:r>
        <w:rPr>
          <w:rFonts w:hint="eastAsia"/>
          <w:lang w:val="en-US" w:eastAsia="zh-CN"/>
        </w:rPr>
        <w:t>2.2重金属（以Pb计）</w:t>
      </w:r>
    </w:p>
    <w:p w14:paraId="40D9B387">
      <w:pPr>
        <w:ind w:firstLine="480" w:firstLineChars="200"/>
      </w:pPr>
      <w:r>
        <w:rPr>
          <w:rFonts w:hint="eastAsia"/>
        </w:rPr>
        <w:t>重金属原义是指</w:t>
      </w:r>
      <w:r>
        <w:rPr>
          <w:rFonts w:hint="eastAsia"/>
        </w:rPr>
        <w:fldChar w:fldCharType="begin"/>
      </w:r>
      <w:r>
        <w:rPr>
          <w:rFonts w:hint="eastAsia"/>
        </w:rPr>
        <w:instrText xml:space="preserve"> HYPERLINK "https://baike.baidu.com/item/%E5%AF%86%E5%BA%A6/488620" \t "_blank" </w:instrText>
      </w:r>
      <w:r>
        <w:rPr>
          <w:rFonts w:hint="eastAsia"/>
        </w:rPr>
        <w:fldChar w:fldCharType="separate"/>
      </w:r>
      <w:r>
        <w:rPr>
          <w:rFonts w:hint="eastAsia"/>
        </w:rPr>
        <w:t>密度</w:t>
      </w:r>
      <w:r>
        <w:rPr>
          <w:rFonts w:hint="eastAsia"/>
        </w:rPr>
        <w:fldChar w:fldCharType="end"/>
      </w:r>
      <w:r>
        <w:rPr>
          <w:rFonts w:hint="eastAsia"/>
        </w:rPr>
        <w:t>大于4.5g/cm</w:t>
      </w:r>
      <w:r>
        <w:rPr>
          <w:rFonts w:hint="eastAsia"/>
          <w:sz w:val="24"/>
          <w:szCs w:val="21"/>
          <w:vertAlign w:val="superscript"/>
        </w:rPr>
        <w:t>3</w:t>
      </w:r>
      <w:r>
        <w:rPr>
          <w:rFonts w:hint="eastAsia"/>
        </w:rPr>
        <w:t>的金属，包括金、银、铜、铁、汞、铅、镉等约45种，重金属在人体中累积达到一定程度，会造成慢性中毒。重金属（以Pb计）是测试结果以Pb元素显色作为参照，大致反应重金属总含量。在食品接触材料用的塑料及塑料制品的生产过程中，车间环境、生产设备、原料都有可能把重金属带到产品当中。重金属非常难以被生物降解，相反却能在食物链的生物放大作用下，成千百倍地富集，最后进入人体。食品接触用塑料制品中如果含有重金属，会缓慢迁移到食物中，重金属随食物进入人体并在体内累积，造成心脏、肝脏、肾脏、大脑组织等部位的损伤。因此，本次</w:t>
      </w:r>
      <w:r>
        <w:t>风险监测对</w:t>
      </w:r>
      <w:r>
        <w:rPr>
          <w:rFonts w:hint="eastAsia"/>
        </w:rPr>
        <w:t>一次性塑料餐饮具的</w:t>
      </w:r>
      <w:r>
        <w:rPr>
          <w:rFonts w:hint="eastAsia"/>
          <w:lang w:val="en-US" w:eastAsia="zh-CN"/>
        </w:rPr>
        <w:t>重金属（以Pb计）</w:t>
      </w:r>
      <w:r>
        <w:rPr>
          <w:rFonts w:hint="eastAsia"/>
        </w:rPr>
        <w:t>进行</w:t>
      </w:r>
      <w:r>
        <w:t>检测。</w:t>
      </w:r>
    </w:p>
    <w:p w14:paraId="7AB4FDF6">
      <w:pPr>
        <w:pStyle w:val="3"/>
        <w:rPr>
          <w:rFonts w:hint="default"/>
          <w:lang w:val="en-US" w:eastAsia="zh-CN"/>
        </w:rPr>
      </w:pPr>
      <w:r>
        <w:rPr>
          <w:rFonts w:hint="eastAsia"/>
          <w:lang w:val="en-US" w:eastAsia="zh-CN"/>
        </w:rPr>
        <w:t>2.3芳香族伯胺迁移总量</w:t>
      </w:r>
    </w:p>
    <w:p w14:paraId="602FBB70">
      <w:pPr>
        <w:ind w:firstLine="480" w:firstLineChars="200"/>
        <w:rPr>
          <w:rFonts w:hint="eastAsia"/>
          <w:highlight w:val="none"/>
        </w:rPr>
      </w:pPr>
      <w:r>
        <w:rPr>
          <w:rFonts w:hint="eastAsia"/>
          <w:highlight w:val="none"/>
        </w:rPr>
        <w:t>芳香族伯胺是指氨分子中的一个氢原子被芳环基取代后的化合物。在食品接触材料中，芳香族伯胺是一类典型的非有意添加物，其来源主要有两方面：(1)含有芳香族异氰酸酯的塑料等材料与水反应，生成芳香族伯胺</w:t>
      </w:r>
      <w:r>
        <w:rPr>
          <w:rFonts w:hint="eastAsia"/>
          <w:highlight w:val="none"/>
          <w:lang w:eastAsia="zh-CN"/>
        </w:rPr>
        <w:t>；</w:t>
      </w:r>
      <w:r>
        <w:rPr>
          <w:rFonts w:hint="eastAsia"/>
          <w:highlight w:val="none"/>
        </w:rPr>
        <w:t>(2)带有偶氮类着色剂的材料，与还原性物质相遇时产生芳香族伯胺。在食品接触用塑料中使用的着色剂以及含有聚氨酯粘合剂的塑料和聚合物涂层中，存在芳香族伯胺残留的风险。芳香族伯胺中4,4'-二氨基二苯甲烷、2-萘胺、4-氨基联苯、联苯胺四种物质已被证明是致癌物和诱变剂，可以通过呼吸道、胃肠道和皮肤进入人体，经过长时间的作用，能够诱发白血病、癌症等病症。由于此类物质对人体危害性大，目前已被欧盟、韩国、南美洲南方共同市场等国家和地区禁用。因此，本次风险监测对一次性塑料餐饮具的芳香族伯胺迁移总量进行检测。</w:t>
      </w:r>
    </w:p>
    <w:p w14:paraId="2A40C0E2">
      <w:pPr>
        <w:pStyle w:val="3"/>
        <w:rPr>
          <w:rFonts w:hint="default"/>
          <w:lang w:val="en-US" w:eastAsia="zh-CN"/>
        </w:rPr>
      </w:pPr>
      <w:r>
        <w:rPr>
          <w:rFonts w:hint="eastAsia"/>
          <w:lang w:val="en-US" w:eastAsia="zh-CN"/>
        </w:rPr>
        <w:t>2.4邻苯二甲酸酯特定迁移量</w:t>
      </w:r>
    </w:p>
    <w:p w14:paraId="48501FC1">
      <w:pPr>
        <w:ind w:firstLine="480" w:firstLineChars="200"/>
      </w:pPr>
      <w:r>
        <w:rPr>
          <w:rFonts w:hint="eastAsia"/>
        </w:rPr>
        <w:t>邻苯二甲酸酯是一类</w:t>
      </w:r>
      <w:r>
        <w:t>增塑剂，</w:t>
      </w:r>
      <w:r>
        <w:rPr>
          <w:rFonts w:hint="eastAsia"/>
        </w:rPr>
        <w:t>可以增加塑料的可塑性，在食品接触用塑料制品的</w:t>
      </w:r>
      <w:r>
        <w:t>生产加工过程</w:t>
      </w:r>
      <w:r>
        <w:rPr>
          <w:rFonts w:hint="eastAsia"/>
        </w:rPr>
        <w:t>中，</w:t>
      </w:r>
      <w:r>
        <w:t>为了获得更好的</w:t>
      </w:r>
      <w:r>
        <w:rPr>
          <w:rFonts w:hint="eastAsia"/>
        </w:rPr>
        <w:t>可塑性</w:t>
      </w:r>
      <w:r>
        <w:t>，</w:t>
      </w:r>
      <w:r>
        <w:rPr>
          <w:rFonts w:hint="eastAsia"/>
        </w:rPr>
        <w:t>可能用邻</w:t>
      </w:r>
      <w:r>
        <w:t>苯二甲</w:t>
      </w:r>
      <w:r>
        <w:rPr>
          <w:rFonts w:hint="eastAsia"/>
        </w:rPr>
        <w:t>酸</w:t>
      </w:r>
      <w:r>
        <w:t>酯</w:t>
      </w:r>
      <w:r>
        <w:rPr>
          <w:rFonts w:hint="eastAsia"/>
        </w:rPr>
        <w:t>作为</w:t>
      </w:r>
      <w:r>
        <w:t>增塑剂添加到原料中。</w:t>
      </w:r>
      <w:r>
        <w:rPr>
          <w:rFonts w:hint="eastAsia"/>
        </w:rPr>
        <w:t>在生活中有很多食物在加工、加热、包装、盛装的过程中可能会造成邻苯二甲酸酯的溶出且渗入食物中。邻苯二甲酸酯在人体和动物体内发挥着类似雌性激素的作用，可干扰内分泌，使男子精液量和精子数量减少，精子运动能力低下，精子形态异常，严重的会导致睾丸癌，是造成男子生殖问题的“罪魁祸首”。</w:t>
      </w:r>
      <w:r>
        <w:t>小孩</w:t>
      </w:r>
      <w:r>
        <w:rPr>
          <w:rFonts w:hint="eastAsia"/>
        </w:rPr>
        <w:t>食入含有邻苯二甲酸酯的食物，会危害其肝脏和肾脏，也可引起儿童性早熟。因此，本次</w:t>
      </w:r>
      <w:r>
        <w:t>风险监测对</w:t>
      </w:r>
      <w:r>
        <w:rPr>
          <w:rFonts w:hint="eastAsia"/>
        </w:rPr>
        <w:t>一次性塑料餐饮具的邻苯二甲酸酯特定迁移量进行</w:t>
      </w:r>
      <w:r>
        <w:t>检测。</w:t>
      </w:r>
    </w:p>
    <w:p w14:paraId="0227D202">
      <w:pPr>
        <w:pStyle w:val="2"/>
      </w:pPr>
      <w:bookmarkStart w:id="1" w:name="_Hlk148369359"/>
      <w:r>
        <w:rPr>
          <w:rFonts w:hint="eastAsia"/>
        </w:rPr>
        <w:t>三、采样要求</w:t>
      </w:r>
    </w:p>
    <w:p w14:paraId="4CB045EE">
      <w:pPr>
        <w:pStyle w:val="3"/>
        <w:rPr>
          <w:highlight w:val="none"/>
        </w:rPr>
      </w:pPr>
      <w:r>
        <w:rPr>
          <w:rFonts w:hint="eastAsia"/>
          <w:highlight w:val="none"/>
        </w:rPr>
        <w:t>3</w:t>
      </w:r>
      <w:r>
        <w:rPr>
          <w:highlight w:val="none"/>
        </w:rPr>
        <w:t>.1</w:t>
      </w:r>
      <w:r>
        <w:rPr>
          <w:rFonts w:hint="eastAsia"/>
          <w:highlight w:val="none"/>
        </w:rPr>
        <w:t>采样</w:t>
      </w:r>
      <w:r>
        <w:rPr>
          <w:highlight w:val="none"/>
        </w:rPr>
        <w:t>方式</w:t>
      </w:r>
    </w:p>
    <w:bookmarkEnd w:id="1"/>
    <w:p w14:paraId="2177A5F0">
      <w:pPr>
        <w:ind w:firstLine="480" w:firstLineChars="200"/>
        <w:rPr>
          <w:highlight w:val="none"/>
        </w:rPr>
      </w:pPr>
      <w:r>
        <w:rPr>
          <w:rFonts w:hint="eastAsia"/>
          <w:highlight w:val="none"/>
        </w:rPr>
        <w:t>本次一次性塑料餐饮具</w:t>
      </w:r>
      <w:r>
        <w:rPr>
          <w:highlight w:val="none"/>
        </w:rPr>
        <w:t>风险监测</w:t>
      </w:r>
      <w:r>
        <w:rPr>
          <w:rFonts w:hint="eastAsia"/>
          <w:highlight w:val="none"/>
        </w:rPr>
        <w:t>样品共75批次</w:t>
      </w:r>
      <w:r>
        <w:rPr>
          <w:highlight w:val="none"/>
        </w:rPr>
        <w:t>。</w:t>
      </w:r>
      <w:bookmarkStart w:id="2" w:name="_Hlk148369666"/>
      <w:r>
        <w:rPr>
          <w:rFonts w:hint="eastAsia"/>
          <w:highlight w:val="none"/>
        </w:rPr>
        <w:t>样品从使用环节（奶茶店，快餐店，早餐店，外卖店等）、</w:t>
      </w:r>
      <w:r>
        <w:rPr>
          <w:highlight w:val="none"/>
        </w:rPr>
        <w:t>生产领域、流通领域（实体店、电商平台）</w:t>
      </w:r>
      <w:r>
        <w:rPr>
          <w:rFonts w:hint="eastAsia"/>
          <w:highlight w:val="none"/>
        </w:rPr>
        <w:t>购买获得</w:t>
      </w:r>
      <w:r>
        <w:rPr>
          <w:highlight w:val="none"/>
        </w:rPr>
        <w:t>，购买样品</w:t>
      </w:r>
      <w:r>
        <w:rPr>
          <w:rFonts w:hint="eastAsia"/>
          <w:highlight w:val="none"/>
        </w:rPr>
        <w:t>的</w:t>
      </w:r>
      <w:r>
        <w:rPr>
          <w:highlight w:val="none"/>
        </w:rPr>
        <w:t>价格以生产、销售产品的标价为准</w:t>
      </w:r>
      <w:r>
        <w:rPr>
          <w:rFonts w:hint="eastAsia"/>
          <w:highlight w:val="none"/>
        </w:rPr>
        <w:t>，</w:t>
      </w:r>
      <w:r>
        <w:rPr>
          <w:highlight w:val="none"/>
        </w:rPr>
        <w:t>没有标价的，以同类产品的市场价格为准。</w:t>
      </w:r>
    </w:p>
    <w:p w14:paraId="0625B6F1">
      <w:pPr>
        <w:ind w:firstLine="480" w:firstLineChars="200"/>
      </w:pPr>
      <w:r>
        <w:rPr>
          <w:rFonts w:hint="eastAsia"/>
        </w:rPr>
        <w:t>本次</w:t>
      </w:r>
      <w:r>
        <w:t>风险监测</w:t>
      </w:r>
      <w:r>
        <w:rPr>
          <w:rFonts w:hint="eastAsia"/>
        </w:rPr>
        <w:t>采样工作</w:t>
      </w:r>
      <w:r>
        <w:t>按随机原则进行，以反映产品的实际分布状况。</w:t>
      </w:r>
      <w:r>
        <w:rPr>
          <w:rFonts w:hint="eastAsia"/>
        </w:rPr>
        <w:t>本次风险监测</w:t>
      </w:r>
      <w:r>
        <w:t>采样</w:t>
      </w:r>
      <w:r>
        <w:rPr>
          <w:rFonts w:hint="eastAsia"/>
        </w:rPr>
        <w:t>工作</w:t>
      </w:r>
      <w:r>
        <w:t>，</w:t>
      </w:r>
      <w:r>
        <w:rPr>
          <w:rFonts w:hint="eastAsia"/>
        </w:rPr>
        <w:t>对同一</w:t>
      </w:r>
      <w:r>
        <w:t>生产者按照同一标准生产的同一</w:t>
      </w:r>
      <w:r>
        <w:rPr>
          <w:rFonts w:hint="eastAsia"/>
        </w:rPr>
        <w:t>商标、</w:t>
      </w:r>
      <w:r>
        <w:t>同一</w:t>
      </w:r>
      <w:r>
        <w:rPr>
          <w:rFonts w:hint="eastAsia"/>
        </w:rPr>
        <w:t>规格型号</w:t>
      </w:r>
      <w:r>
        <w:t>的产品</w:t>
      </w:r>
      <w:r>
        <w:rPr>
          <w:rFonts w:hint="eastAsia"/>
        </w:rPr>
        <w:t>（同一产品）</w:t>
      </w:r>
      <w:r>
        <w:t>不得重复</w:t>
      </w:r>
      <w:r>
        <w:rPr>
          <w:rFonts w:hint="eastAsia"/>
        </w:rPr>
        <w:t>采样</w:t>
      </w:r>
      <w:r>
        <w:t>。</w:t>
      </w:r>
      <w:r>
        <w:rPr>
          <w:rFonts w:hint="eastAsia"/>
        </w:rPr>
        <w:t>对</w:t>
      </w:r>
      <w:r>
        <w:t>同一生产者或者销售者</w:t>
      </w:r>
      <w:r>
        <w:rPr>
          <w:rFonts w:hint="eastAsia"/>
        </w:rPr>
        <w:t>（大型商场或超市除外）</w:t>
      </w:r>
      <w:r>
        <w:t>生产或者销售的</w:t>
      </w:r>
      <w:r>
        <w:rPr>
          <w:rFonts w:hint="eastAsia"/>
        </w:rPr>
        <w:t>同一品牌</w:t>
      </w:r>
      <w:r>
        <w:t>的同一</w:t>
      </w:r>
      <w:r>
        <w:rPr>
          <w:rFonts w:hint="eastAsia"/>
        </w:rPr>
        <w:t>品类</w:t>
      </w:r>
      <w:r>
        <w:t>产</w:t>
      </w:r>
      <w:r>
        <w:rPr>
          <w:rFonts w:hint="eastAsia"/>
        </w:rPr>
        <w:t>品</w:t>
      </w:r>
      <w:r>
        <w:t>采样不超过</w:t>
      </w:r>
      <w:r>
        <w:rPr>
          <w:rFonts w:hint="eastAsia"/>
        </w:rPr>
        <w:t>2批次</w:t>
      </w:r>
      <w:r>
        <w:t>。</w:t>
      </w:r>
      <w:r>
        <w:rPr>
          <w:rFonts w:hint="eastAsia"/>
        </w:rPr>
        <w:t>本次风险监测工作实行抽检分离制度，抽样人员不得承担其</w:t>
      </w:r>
      <w:r>
        <w:t>抽样</w:t>
      </w:r>
      <w:r>
        <w:rPr>
          <w:rFonts w:hint="eastAsia"/>
        </w:rPr>
        <w:t>产品的检验工作。</w:t>
      </w:r>
    </w:p>
    <w:p w14:paraId="6FE7EB5A">
      <w:pPr>
        <w:pStyle w:val="3"/>
      </w:pPr>
      <w:r>
        <w:t>3.2</w:t>
      </w:r>
      <w:r>
        <w:rPr>
          <w:rFonts w:hint="eastAsia"/>
        </w:rPr>
        <w:t>采样计划</w:t>
      </w:r>
    </w:p>
    <w:bookmarkEnd w:id="2"/>
    <w:p w14:paraId="2F3CD78E">
      <w:pPr>
        <w:ind w:firstLine="480" w:firstLineChars="200"/>
      </w:pPr>
      <w:r>
        <w:rPr>
          <w:rFonts w:hint="eastAsia"/>
        </w:rPr>
        <w:t>根据临汾市内一次性塑料餐饮具生产企业实际情况</w:t>
      </w:r>
      <w:r>
        <w:t>，</w:t>
      </w:r>
      <w:r>
        <w:rPr>
          <w:rFonts w:hint="eastAsia"/>
        </w:rPr>
        <w:t>对本次产品在生产企业和流通领域实体店、生产企业抽样数量安排如下。</w:t>
      </w:r>
    </w:p>
    <w:p w14:paraId="4C261FCD">
      <w:pPr>
        <w:jc w:val="center"/>
      </w:pPr>
      <w:r>
        <w:rPr>
          <w:rFonts w:hint="eastAsia"/>
        </w:rPr>
        <w:t>表</w:t>
      </w:r>
      <w:r>
        <w:t>2</w:t>
      </w:r>
      <w:r>
        <w:rPr>
          <w:rFonts w:hint="eastAsia"/>
        </w:rPr>
        <w:t xml:space="preserve"> 一次性塑料餐饮具产品质量风险监测采样计划表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164"/>
        <w:gridCol w:w="3060"/>
        <w:gridCol w:w="1164"/>
        <w:gridCol w:w="1975"/>
      </w:tblGrid>
      <w:tr w14:paraId="479E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14:paraId="6D9EE4AB">
            <w:pPr>
              <w:spacing w:line="240" w:lineRule="auto"/>
              <w:jc w:val="center"/>
              <w:rPr>
                <w:sz w:val="21"/>
              </w:rPr>
            </w:pPr>
            <w:r>
              <w:rPr>
                <w:rFonts w:hint="eastAsia"/>
                <w:sz w:val="21"/>
              </w:rPr>
              <w:t>项目类别</w:t>
            </w:r>
          </w:p>
        </w:tc>
        <w:tc>
          <w:tcPr>
            <w:tcW w:w="683" w:type="pct"/>
            <w:vAlign w:val="center"/>
          </w:tcPr>
          <w:p w14:paraId="03B7753A">
            <w:pPr>
              <w:spacing w:line="240" w:lineRule="auto"/>
              <w:jc w:val="center"/>
              <w:rPr>
                <w:sz w:val="21"/>
              </w:rPr>
            </w:pPr>
            <w:r>
              <w:rPr>
                <w:rFonts w:hint="eastAsia"/>
                <w:sz w:val="21"/>
              </w:rPr>
              <w:t>产品类别</w:t>
            </w:r>
          </w:p>
        </w:tc>
        <w:tc>
          <w:tcPr>
            <w:tcW w:w="1795" w:type="pct"/>
            <w:vAlign w:val="center"/>
          </w:tcPr>
          <w:p w14:paraId="3018E459">
            <w:pPr>
              <w:spacing w:line="240" w:lineRule="auto"/>
              <w:jc w:val="center"/>
              <w:rPr>
                <w:sz w:val="21"/>
              </w:rPr>
            </w:pPr>
            <w:r>
              <w:rPr>
                <w:rFonts w:hint="eastAsia"/>
                <w:sz w:val="21"/>
              </w:rPr>
              <w:t>采样地点</w:t>
            </w:r>
          </w:p>
        </w:tc>
        <w:tc>
          <w:tcPr>
            <w:tcW w:w="683" w:type="pct"/>
            <w:vAlign w:val="center"/>
          </w:tcPr>
          <w:p w14:paraId="45FCFF9A">
            <w:pPr>
              <w:spacing w:line="240" w:lineRule="auto"/>
              <w:jc w:val="center"/>
              <w:rPr>
                <w:sz w:val="21"/>
              </w:rPr>
            </w:pPr>
            <w:r>
              <w:rPr>
                <w:rFonts w:hint="eastAsia"/>
                <w:sz w:val="21"/>
              </w:rPr>
              <w:t>采样批次</w:t>
            </w:r>
          </w:p>
        </w:tc>
        <w:tc>
          <w:tcPr>
            <w:tcW w:w="1158" w:type="pct"/>
            <w:vAlign w:val="center"/>
          </w:tcPr>
          <w:p w14:paraId="15E6858C">
            <w:pPr>
              <w:spacing w:line="240" w:lineRule="auto"/>
              <w:jc w:val="center"/>
              <w:rPr>
                <w:sz w:val="21"/>
              </w:rPr>
            </w:pPr>
            <w:r>
              <w:rPr>
                <w:rFonts w:hint="eastAsia"/>
                <w:sz w:val="21"/>
              </w:rPr>
              <w:t>备注</w:t>
            </w:r>
          </w:p>
        </w:tc>
      </w:tr>
      <w:tr w14:paraId="07AF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Merge w:val="restart"/>
            <w:vAlign w:val="center"/>
          </w:tcPr>
          <w:p w14:paraId="3BB02FDC">
            <w:pPr>
              <w:spacing w:line="240" w:lineRule="auto"/>
              <w:jc w:val="center"/>
              <w:rPr>
                <w:sz w:val="21"/>
              </w:rPr>
            </w:pPr>
            <w:r>
              <w:rPr>
                <w:rFonts w:hint="eastAsia"/>
                <w:sz w:val="21"/>
              </w:rPr>
              <w:t>食品相关产品</w:t>
            </w:r>
          </w:p>
        </w:tc>
        <w:tc>
          <w:tcPr>
            <w:tcW w:w="683" w:type="pct"/>
            <w:vMerge w:val="restart"/>
            <w:vAlign w:val="center"/>
          </w:tcPr>
          <w:p w14:paraId="7128CBCF">
            <w:pPr>
              <w:spacing w:line="240" w:lineRule="auto"/>
              <w:jc w:val="center"/>
              <w:rPr>
                <w:sz w:val="21"/>
              </w:rPr>
            </w:pPr>
            <w:r>
              <w:rPr>
                <w:rFonts w:hint="eastAsia"/>
                <w:sz w:val="21"/>
              </w:rPr>
              <w:t>一次性塑料餐饮具</w:t>
            </w:r>
          </w:p>
        </w:tc>
        <w:tc>
          <w:tcPr>
            <w:tcW w:w="1795" w:type="pct"/>
            <w:vAlign w:val="center"/>
          </w:tcPr>
          <w:p w14:paraId="451FA994">
            <w:pPr>
              <w:spacing w:line="240" w:lineRule="auto"/>
              <w:jc w:val="center"/>
              <w:rPr>
                <w:sz w:val="21"/>
              </w:rPr>
            </w:pPr>
            <w:r>
              <w:rPr>
                <w:rFonts w:hint="eastAsia"/>
                <w:sz w:val="21"/>
              </w:rPr>
              <w:t>使用环节</w:t>
            </w:r>
          </w:p>
        </w:tc>
        <w:tc>
          <w:tcPr>
            <w:tcW w:w="683" w:type="pct"/>
            <w:vAlign w:val="center"/>
          </w:tcPr>
          <w:p w14:paraId="6AB96376">
            <w:pPr>
              <w:spacing w:line="240" w:lineRule="auto"/>
              <w:jc w:val="center"/>
              <w:rPr>
                <w:sz w:val="21"/>
              </w:rPr>
            </w:pPr>
            <w:r>
              <w:rPr>
                <w:rFonts w:hint="eastAsia"/>
                <w:sz w:val="21"/>
              </w:rPr>
              <w:t>1</w:t>
            </w:r>
            <w:r>
              <w:rPr>
                <w:sz w:val="21"/>
              </w:rPr>
              <w:t>5</w:t>
            </w:r>
          </w:p>
        </w:tc>
        <w:tc>
          <w:tcPr>
            <w:tcW w:w="1158" w:type="pct"/>
            <w:vMerge w:val="restart"/>
            <w:vAlign w:val="center"/>
          </w:tcPr>
          <w:p w14:paraId="652997C2">
            <w:pPr>
              <w:spacing w:line="240" w:lineRule="auto"/>
              <w:jc w:val="center"/>
              <w:rPr>
                <w:sz w:val="21"/>
              </w:rPr>
            </w:pPr>
            <w:r>
              <w:rPr>
                <w:rFonts w:hint="eastAsia"/>
                <w:sz w:val="21"/>
              </w:rPr>
              <w:t>共75批次，各采样地点具体采样批次根据市场实际情况调整。</w:t>
            </w:r>
          </w:p>
        </w:tc>
      </w:tr>
      <w:tr w14:paraId="13CD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Merge w:val="continue"/>
            <w:vAlign w:val="center"/>
          </w:tcPr>
          <w:p w14:paraId="17553B77">
            <w:pPr>
              <w:spacing w:line="240" w:lineRule="auto"/>
              <w:jc w:val="center"/>
              <w:rPr>
                <w:sz w:val="21"/>
              </w:rPr>
            </w:pPr>
          </w:p>
        </w:tc>
        <w:tc>
          <w:tcPr>
            <w:tcW w:w="683" w:type="pct"/>
            <w:vMerge w:val="continue"/>
            <w:vAlign w:val="center"/>
          </w:tcPr>
          <w:p w14:paraId="3BD712AE">
            <w:pPr>
              <w:spacing w:line="240" w:lineRule="auto"/>
              <w:jc w:val="center"/>
              <w:rPr>
                <w:sz w:val="21"/>
              </w:rPr>
            </w:pPr>
          </w:p>
        </w:tc>
        <w:tc>
          <w:tcPr>
            <w:tcW w:w="1795" w:type="pct"/>
            <w:vAlign w:val="center"/>
          </w:tcPr>
          <w:p w14:paraId="44F47DDE">
            <w:pPr>
              <w:spacing w:line="240" w:lineRule="auto"/>
              <w:jc w:val="center"/>
              <w:rPr>
                <w:sz w:val="21"/>
              </w:rPr>
            </w:pPr>
            <w:r>
              <w:rPr>
                <w:rFonts w:hint="eastAsia"/>
                <w:sz w:val="21"/>
              </w:rPr>
              <w:t>生产企业</w:t>
            </w:r>
          </w:p>
        </w:tc>
        <w:tc>
          <w:tcPr>
            <w:tcW w:w="683" w:type="pct"/>
            <w:vAlign w:val="center"/>
          </w:tcPr>
          <w:p w14:paraId="728D93A0">
            <w:pPr>
              <w:spacing w:line="240" w:lineRule="auto"/>
              <w:jc w:val="center"/>
              <w:rPr>
                <w:sz w:val="21"/>
              </w:rPr>
            </w:pPr>
            <w:r>
              <w:rPr>
                <w:rFonts w:hint="eastAsia"/>
                <w:sz w:val="21"/>
              </w:rPr>
              <w:t>5</w:t>
            </w:r>
          </w:p>
        </w:tc>
        <w:tc>
          <w:tcPr>
            <w:tcW w:w="1158" w:type="pct"/>
            <w:vMerge w:val="continue"/>
            <w:vAlign w:val="center"/>
          </w:tcPr>
          <w:p w14:paraId="3C654322">
            <w:pPr>
              <w:spacing w:line="240" w:lineRule="auto"/>
              <w:jc w:val="center"/>
              <w:rPr>
                <w:sz w:val="21"/>
              </w:rPr>
            </w:pPr>
          </w:p>
        </w:tc>
      </w:tr>
      <w:tr w14:paraId="6506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Merge w:val="continue"/>
            <w:vAlign w:val="center"/>
          </w:tcPr>
          <w:p w14:paraId="25D8AA6C">
            <w:pPr>
              <w:spacing w:line="240" w:lineRule="auto"/>
              <w:jc w:val="center"/>
              <w:rPr>
                <w:sz w:val="21"/>
              </w:rPr>
            </w:pPr>
          </w:p>
        </w:tc>
        <w:tc>
          <w:tcPr>
            <w:tcW w:w="683" w:type="pct"/>
            <w:vMerge w:val="continue"/>
            <w:vAlign w:val="center"/>
          </w:tcPr>
          <w:p w14:paraId="040EC90E">
            <w:pPr>
              <w:spacing w:line="240" w:lineRule="auto"/>
              <w:jc w:val="center"/>
              <w:rPr>
                <w:sz w:val="21"/>
              </w:rPr>
            </w:pPr>
          </w:p>
        </w:tc>
        <w:tc>
          <w:tcPr>
            <w:tcW w:w="1795" w:type="pct"/>
            <w:vAlign w:val="center"/>
          </w:tcPr>
          <w:p w14:paraId="4643CD11">
            <w:pPr>
              <w:spacing w:line="240" w:lineRule="auto"/>
              <w:jc w:val="center"/>
              <w:rPr>
                <w:sz w:val="21"/>
              </w:rPr>
            </w:pPr>
            <w:r>
              <w:rPr>
                <w:rFonts w:hint="eastAsia"/>
                <w:sz w:val="21"/>
              </w:rPr>
              <w:t>实体店（商场、超市、批发市场、专卖店或杂货店等）</w:t>
            </w:r>
          </w:p>
        </w:tc>
        <w:tc>
          <w:tcPr>
            <w:tcW w:w="683" w:type="pct"/>
            <w:vAlign w:val="center"/>
          </w:tcPr>
          <w:p w14:paraId="321EDABF">
            <w:pPr>
              <w:spacing w:line="240" w:lineRule="auto"/>
              <w:jc w:val="center"/>
              <w:rPr>
                <w:sz w:val="21"/>
              </w:rPr>
            </w:pPr>
            <w:r>
              <w:rPr>
                <w:sz w:val="21"/>
              </w:rPr>
              <w:t>40</w:t>
            </w:r>
          </w:p>
        </w:tc>
        <w:tc>
          <w:tcPr>
            <w:tcW w:w="1158" w:type="pct"/>
            <w:vMerge w:val="continue"/>
            <w:vAlign w:val="center"/>
          </w:tcPr>
          <w:p w14:paraId="64BA957F">
            <w:pPr>
              <w:spacing w:line="240" w:lineRule="auto"/>
              <w:jc w:val="center"/>
              <w:rPr>
                <w:sz w:val="21"/>
              </w:rPr>
            </w:pPr>
          </w:p>
        </w:tc>
      </w:tr>
      <w:tr w14:paraId="37BF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Merge w:val="continue"/>
            <w:vAlign w:val="center"/>
          </w:tcPr>
          <w:p w14:paraId="3DD0D827">
            <w:pPr>
              <w:spacing w:line="240" w:lineRule="auto"/>
              <w:jc w:val="center"/>
              <w:rPr>
                <w:sz w:val="21"/>
              </w:rPr>
            </w:pPr>
          </w:p>
        </w:tc>
        <w:tc>
          <w:tcPr>
            <w:tcW w:w="683" w:type="pct"/>
            <w:vMerge w:val="continue"/>
            <w:vAlign w:val="center"/>
          </w:tcPr>
          <w:p w14:paraId="10011A6D">
            <w:pPr>
              <w:spacing w:line="240" w:lineRule="auto"/>
              <w:jc w:val="center"/>
              <w:rPr>
                <w:sz w:val="21"/>
              </w:rPr>
            </w:pPr>
          </w:p>
        </w:tc>
        <w:tc>
          <w:tcPr>
            <w:tcW w:w="1795" w:type="pct"/>
            <w:vAlign w:val="center"/>
          </w:tcPr>
          <w:p w14:paraId="155F7B4D">
            <w:pPr>
              <w:spacing w:line="240" w:lineRule="auto"/>
              <w:jc w:val="center"/>
              <w:rPr>
                <w:sz w:val="21"/>
              </w:rPr>
            </w:pPr>
            <w:r>
              <w:rPr>
                <w:rFonts w:hint="eastAsia"/>
                <w:sz w:val="21"/>
              </w:rPr>
              <w:t>电商平台</w:t>
            </w:r>
          </w:p>
        </w:tc>
        <w:tc>
          <w:tcPr>
            <w:tcW w:w="683" w:type="pct"/>
            <w:vAlign w:val="center"/>
          </w:tcPr>
          <w:p w14:paraId="0B09F931">
            <w:pPr>
              <w:spacing w:line="240" w:lineRule="auto"/>
              <w:jc w:val="center"/>
              <w:rPr>
                <w:sz w:val="21"/>
              </w:rPr>
            </w:pPr>
            <w:r>
              <w:rPr>
                <w:rFonts w:hint="eastAsia"/>
                <w:sz w:val="21"/>
              </w:rPr>
              <w:t>1</w:t>
            </w:r>
            <w:r>
              <w:rPr>
                <w:sz w:val="21"/>
              </w:rPr>
              <w:t>5</w:t>
            </w:r>
          </w:p>
        </w:tc>
        <w:tc>
          <w:tcPr>
            <w:tcW w:w="1158" w:type="pct"/>
            <w:vMerge w:val="continue"/>
            <w:vAlign w:val="center"/>
          </w:tcPr>
          <w:p w14:paraId="18A97377">
            <w:pPr>
              <w:spacing w:line="240" w:lineRule="auto"/>
              <w:jc w:val="center"/>
              <w:rPr>
                <w:sz w:val="21"/>
              </w:rPr>
            </w:pPr>
          </w:p>
        </w:tc>
      </w:tr>
    </w:tbl>
    <w:p w14:paraId="61855EE4">
      <w:pPr>
        <w:pStyle w:val="3"/>
      </w:pPr>
      <w:r>
        <w:t>3.3</w:t>
      </w:r>
      <w:r>
        <w:rPr>
          <w:rFonts w:hint="eastAsia"/>
        </w:rPr>
        <w:t>采样数量</w:t>
      </w:r>
    </w:p>
    <w:p w14:paraId="5496371B">
      <w:pPr>
        <w:jc w:val="center"/>
      </w:pPr>
      <w:r>
        <w:rPr>
          <w:rFonts w:hint="eastAsia"/>
        </w:rPr>
        <w:t>表</w:t>
      </w:r>
      <w:r>
        <w:t xml:space="preserve">3 </w:t>
      </w:r>
      <w:r>
        <w:rPr>
          <w:rFonts w:hint="eastAsia"/>
        </w:rPr>
        <w:t>一次性塑料餐饮具产品质量风险监测采样数量表</w:t>
      </w:r>
    </w:p>
    <w:tbl>
      <w:tblPr>
        <w:tblStyle w:val="10"/>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6453"/>
      </w:tblGrid>
      <w:tr w14:paraId="0282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pct"/>
            <w:vAlign w:val="center"/>
          </w:tcPr>
          <w:p w14:paraId="4AF2B695">
            <w:pPr>
              <w:spacing w:line="240" w:lineRule="auto"/>
              <w:jc w:val="center"/>
              <w:rPr>
                <w:sz w:val="21"/>
              </w:rPr>
            </w:pPr>
            <w:r>
              <w:rPr>
                <w:rFonts w:hint="eastAsia"/>
                <w:sz w:val="21"/>
              </w:rPr>
              <w:t>产品类别</w:t>
            </w:r>
          </w:p>
        </w:tc>
        <w:tc>
          <w:tcPr>
            <w:tcW w:w="3694" w:type="pct"/>
            <w:tcBorders>
              <w:bottom w:val="single" w:color="auto" w:sz="4" w:space="0"/>
            </w:tcBorders>
            <w:vAlign w:val="center"/>
          </w:tcPr>
          <w:p w14:paraId="5C534B71">
            <w:pPr>
              <w:spacing w:line="240" w:lineRule="auto"/>
              <w:jc w:val="center"/>
              <w:rPr>
                <w:sz w:val="21"/>
              </w:rPr>
            </w:pPr>
            <w:r>
              <w:rPr>
                <w:rFonts w:hint="eastAsia"/>
                <w:sz w:val="21"/>
              </w:rPr>
              <w:t>采样数量/批</w:t>
            </w:r>
          </w:p>
        </w:tc>
      </w:tr>
      <w:tr w14:paraId="1080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305" w:type="pct"/>
            <w:shd w:val="clear" w:color="auto" w:fill="auto"/>
            <w:vAlign w:val="center"/>
          </w:tcPr>
          <w:p w14:paraId="546C655B">
            <w:pPr>
              <w:spacing w:line="240" w:lineRule="auto"/>
              <w:jc w:val="center"/>
              <w:rPr>
                <w:sz w:val="21"/>
              </w:rPr>
            </w:pPr>
            <w:r>
              <w:rPr>
                <w:rFonts w:hint="eastAsia"/>
                <w:sz w:val="21"/>
              </w:rPr>
              <w:t>一次性塑料餐饮具</w:t>
            </w:r>
          </w:p>
        </w:tc>
        <w:tc>
          <w:tcPr>
            <w:tcW w:w="3694" w:type="pct"/>
            <w:shd w:val="clear" w:color="000000" w:fill="auto"/>
            <w:vAlign w:val="center"/>
          </w:tcPr>
          <w:p w14:paraId="75077E32">
            <w:pPr>
              <w:spacing w:line="240" w:lineRule="auto"/>
              <w:jc w:val="left"/>
              <w:rPr>
                <w:rFonts w:hint="default" w:eastAsia="宋体"/>
                <w:sz w:val="21"/>
                <w:lang w:val="en-US" w:eastAsia="zh-CN"/>
              </w:rPr>
            </w:pPr>
            <w:r>
              <w:rPr>
                <w:rFonts w:hint="eastAsia"/>
                <w:sz w:val="21"/>
              </w:rPr>
              <w:t>塑料杯、碗、盘等</w:t>
            </w:r>
            <w:r>
              <w:rPr>
                <w:rFonts w:hint="eastAsia"/>
                <w:sz w:val="21"/>
                <w:lang w:val="en-US" w:eastAsia="zh-CN"/>
              </w:rPr>
              <w:t>抽样5</w:t>
            </w:r>
            <w:r>
              <w:rPr>
                <w:rFonts w:hint="eastAsia"/>
                <w:sz w:val="21"/>
              </w:rPr>
              <w:t>0个，</w:t>
            </w:r>
            <w:r>
              <w:rPr>
                <w:rFonts w:hint="eastAsia"/>
                <w:sz w:val="21"/>
                <w:lang w:val="en-US" w:eastAsia="zh-CN"/>
              </w:rPr>
              <w:t>其中检验样品30个，备用样品20个。</w:t>
            </w:r>
          </w:p>
          <w:p w14:paraId="5D794607">
            <w:pPr>
              <w:spacing w:line="240" w:lineRule="auto"/>
              <w:jc w:val="left"/>
              <w:rPr>
                <w:rFonts w:hint="eastAsia" w:eastAsia="宋体"/>
                <w:sz w:val="21"/>
                <w:lang w:eastAsia="zh-CN"/>
              </w:rPr>
            </w:pPr>
            <w:r>
              <w:rPr>
                <w:rFonts w:hint="eastAsia"/>
                <w:sz w:val="21"/>
              </w:rPr>
              <w:t>塑料勺子、叉子等</w:t>
            </w:r>
            <w:r>
              <w:rPr>
                <w:rFonts w:hint="eastAsia"/>
                <w:sz w:val="21"/>
                <w:lang w:val="en-US" w:eastAsia="zh-CN"/>
              </w:rPr>
              <w:t>抽样8</w:t>
            </w:r>
            <w:r>
              <w:rPr>
                <w:rFonts w:hint="eastAsia"/>
                <w:sz w:val="21"/>
              </w:rPr>
              <w:t>0个</w:t>
            </w:r>
            <w:r>
              <w:rPr>
                <w:rFonts w:hint="eastAsia"/>
                <w:sz w:val="21"/>
                <w:lang w:eastAsia="zh-CN"/>
              </w:rPr>
              <w:t>，</w:t>
            </w:r>
            <w:r>
              <w:rPr>
                <w:rFonts w:hint="eastAsia"/>
                <w:sz w:val="21"/>
                <w:lang w:val="en-US" w:eastAsia="zh-CN"/>
              </w:rPr>
              <w:t>其中检验样品50个，备用样品30个。</w:t>
            </w:r>
          </w:p>
        </w:tc>
      </w:tr>
      <w:tr w14:paraId="4537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2"/>
            <w:shd w:val="clear" w:color="auto" w:fill="auto"/>
            <w:vAlign w:val="center"/>
          </w:tcPr>
          <w:p w14:paraId="0AD91641">
            <w:pPr>
              <w:spacing w:line="240" w:lineRule="auto"/>
              <w:jc w:val="left"/>
              <w:rPr>
                <w:sz w:val="21"/>
              </w:rPr>
            </w:pPr>
            <w:r>
              <w:rPr>
                <w:rFonts w:hint="eastAsia"/>
                <w:sz w:val="21"/>
              </w:rPr>
              <w:t>注：</w:t>
            </w:r>
            <w:r>
              <w:rPr>
                <w:sz w:val="21"/>
              </w:rPr>
              <w:t>抽样时以最小独立包装为抽样单元，样品</w:t>
            </w:r>
            <w:r>
              <w:rPr>
                <w:rFonts w:hint="eastAsia"/>
                <w:sz w:val="21"/>
              </w:rPr>
              <w:t>总</w:t>
            </w:r>
            <w:r>
              <w:rPr>
                <w:sz w:val="21"/>
              </w:rPr>
              <w:t>数满足上述抽样数量</w:t>
            </w:r>
            <w:r>
              <w:rPr>
                <w:rFonts w:hint="eastAsia"/>
                <w:sz w:val="21"/>
              </w:rPr>
              <w:t>。单个包装样品量不足以上要求的，进行换算，保证样品量足够</w:t>
            </w:r>
            <w:r>
              <w:rPr>
                <w:sz w:val="21"/>
              </w:rPr>
              <w:t>。</w:t>
            </w:r>
          </w:p>
        </w:tc>
      </w:tr>
    </w:tbl>
    <w:p w14:paraId="18AEBF1D">
      <w:pPr>
        <w:pStyle w:val="2"/>
      </w:pPr>
      <w:r>
        <w:rPr>
          <w:rFonts w:hint="eastAsia"/>
        </w:rPr>
        <w:t>四、监测工作内容</w:t>
      </w:r>
    </w:p>
    <w:p w14:paraId="02E68D23">
      <w:pPr>
        <w:jc w:val="center"/>
      </w:pPr>
      <w:r>
        <w:rPr>
          <w:rFonts w:hint="eastAsia"/>
        </w:rPr>
        <w:t>表</w:t>
      </w:r>
      <w:r>
        <w:t xml:space="preserve">4 </w:t>
      </w:r>
      <w:r>
        <w:rPr>
          <w:rFonts w:hint="eastAsia"/>
        </w:rPr>
        <w:t>一次性塑料餐饮具产品质量风险监测项目及依据</w:t>
      </w:r>
    </w:p>
    <w:tbl>
      <w:tblPr>
        <w:tblStyle w:val="9"/>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4355"/>
        <w:gridCol w:w="3437"/>
      </w:tblGrid>
      <w:tr w14:paraId="3BD3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4" w:type="pct"/>
            <w:tcBorders>
              <w:top w:val="single" w:color="auto" w:sz="4" w:space="0"/>
              <w:left w:val="single" w:color="auto" w:sz="4" w:space="0"/>
              <w:bottom w:val="single" w:color="auto" w:sz="4" w:space="0"/>
              <w:right w:val="single" w:color="auto" w:sz="4" w:space="0"/>
            </w:tcBorders>
            <w:vAlign w:val="center"/>
          </w:tcPr>
          <w:p w14:paraId="70F9AF3C">
            <w:pPr>
              <w:jc w:val="center"/>
              <w:rPr>
                <w:rFonts w:ascii="宋体" w:hAnsi="宋体" w:cs="Times New Roman"/>
                <w:sz w:val="21"/>
                <w:szCs w:val="21"/>
              </w:rPr>
            </w:pPr>
            <w:r>
              <w:rPr>
                <w:rFonts w:hint="eastAsia" w:ascii="宋体" w:hAnsi="宋体" w:cs="Times New Roman"/>
                <w:sz w:val="21"/>
                <w:szCs w:val="21"/>
              </w:rPr>
              <w:t>检测项目</w:t>
            </w:r>
          </w:p>
        </w:tc>
        <w:tc>
          <w:tcPr>
            <w:tcW w:w="2372" w:type="pct"/>
            <w:tcBorders>
              <w:top w:val="single" w:color="auto" w:sz="4" w:space="0"/>
              <w:left w:val="single" w:color="auto" w:sz="4" w:space="0"/>
              <w:bottom w:val="single" w:color="auto" w:sz="4" w:space="0"/>
              <w:right w:val="single" w:color="auto" w:sz="4" w:space="0"/>
            </w:tcBorders>
            <w:vAlign w:val="center"/>
          </w:tcPr>
          <w:p w14:paraId="35C48CCE">
            <w:pPr>
              <w:jc w:val="center"/>
              <w:rPr>
                <w:rFonts w:ascii="宋体" w:hAnsi="宋体" w:cs="Times New Roman"/>
                <w:sz w:val="21"/>
                <w:szCs w:val="21"/>
              </w:rPr>
            </w:pPr>
            <w:r>
              <w:rPr>
                <w:rFonts w:hint="eastAsia" w:ascii="宋体" w:hAnsi="宋体" w:cs="Times New Roman"/>
                <w:sz w:val="21"/>
                <w:szCs w:val="21"/>
              </w:rPr>
              <w:t>检验方法/标准</w:t>
            </w:r>
          </w:p>
        </w:tc>
        <w:tc>
          <w:tcPr>
            <w:tcW w:w="1872" w:type="pct"/>
            <w:tcBorders>
              <w:top w:val="single" w:color="auto" w:sz="4" w:space="0"/>
              <w:left w:val="single" w:color="auto" w:sz="4" w:space="0"/>
              <w:bottom w:val="single" w:color="auto" w:sz="4" w:space="0"/>
              <w:right w:val="single" w:color="auto" w:sz="4" w:space="0"/>
            </w:tcBorders>
            <w:vAlign w:val="center"/>
          </w:tcPr>
          <w:p w14:paraId="505A85FD">
            <w:pPr>
              <w:jc w:val="center"/>
              <w:rPr>
                <w:rFonts w:ascii="宋体" w:hAnsi="宋体" w:cs="Times New Roman"/>
                <w:sz w:val="21"/>
                <w:szCs w:val="21"/>
              </w:rPr>
            </w:pPr>
            <w:r>
              <w:rPr>
                <w:rFonts w:hint="eastAsia" w:ascii="宋体" w:hAnsi="宋体" w:cs="Times New Roman"/>
                <w:sz w:val="21"/>
                <w:szCs w:val="21"/>
              </w:rPr>
              <w:t>判定依据/评估依据</w:t>
            </w:r>
          </w:p>
        </w:tc>
      </w:tr>
      <w:tr w14:paraId="52B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pct"/>
            <w:tcBorders>
              <w:top w:val="single" w:color="auto" w:sz="4" w:space="0"/>
              <w:left w:val="single" w:color="auto" w:sz="4" w:space="0"/>
              <w:bottom w:val="single" w:color="auto" w:sz="4" w:space="0"/>
              <w:right w:val="single" w:color="auto" w:sz="4" w:space="0"/>
            </w:tcBorders>
            <w:shd w:val="clear" w:color="auto" w:fill="FFFFFF"/>
            <w:vAlign w:val="center"/>
          </w:tcPr>
          <w:p w14:paraId="2CE0EF23">
            <w:pPr>
              <w:jc w:val="center"/>
              <w:rPr>
                <w:rFonts w:ascii="宋体" w:hAnsi="宋体" w:cs="Times New Roman"/>
                <w:sz w:val="21"/>
                <w:szCs w:val="21"/>
              </w:rPr>
            </w:pPr>
            <w:r>
              <w:rPr>
                <w:rFonts w:hint="eastAsia" w:ascii="宋体" w:hAnsi="宋体"/>
                <w:sz w:val="21"/>
                <w:szCs w:val="21"/>
              </w:rPr>
              <w:t>总迁移量</w:t>
            </w:r>
          </w:p>
        </w:tc>
        <w:tc>
          <w:tcPr>
            <w:tcW w:w="2372" w:type="pct"/>
            <w:tcBorders>
              <w:top w:val="single" w:color="auto" w:sz="4" w:space="0"/>
              <w:left w:val="single" w:color="auto" w:sz="4" w:space="0"/>
              <w:bottom w:val="single" w:color="auto" w:sz="4" w:space="0"/>
              <w:right w:val="single" w:color="auto" w:sz="4" w:space="0"/>
            </w:tcBorders>
            <w:shd w:val="clear" w:color="auto" w:fill="FFFFFF"/>
            <w:vAlign w:val="center"/>
          </w:tcPr>
          <w:p w14:paraId="4C42E33D">
            <w:pPr>
              <w:jc w:val="center"/>
              <w:rPr>
                <w:rFonts w:ascii="宋体" w:hAnsi="宋体" w:cs="Times New Roman"/>
                <w:sz w:val="21"/>
                <w:szCs w:val="21"/>
              </w:rPr>
            </w:pPr>
            <w:r>
              <w:rPr>
                <w:rFonts w:hint="eastAsia" w:ascii="宋体" w:hAnsi="宋体"/>
                <w:sz w:val="21"/>
                <w:szCs w:val="21"/>
              </w:rPr>
              <w:t>GB 31604.8-2021《食品安全国家标准 食品接触材料及制品 总迁移量的测定》</w:t>
            </w:r>
          </w:p>
        </w:tc>
        <w:tc>
          <w:tcPr>
            <w:tcW w:w="1872" w:type="pct"/>
            <w:tcBorders>
              <w:top w:val="single" w:color="auto" w:sz="4" w:space="0"/>
              <w:left w:val="single" w:color="auto" w:sz="4" w:space="0"/>
              <w:bottom w:val="single" w:color="auto" w:sz="4" w:space="0"/>
              <w:right w:val="single" w:color="auto" w:sz="4" w:space="0"/>
            </w:tcBorders>
            <w:vAlign w:val="center"/>
          </w:tcPr>
          <w:p w14:paraId="3D14669D">
            <w:pPr>
              <w:jc w:val="center"/>
              <w:rPr>
                <w:rFonts w:ascii="宋体" w:hAnsi="宋体" w:cs="Times New Roman"/>
                <w:sz w:val="21"/>
                <w:szCs w:val="21"/>
              </w:rPr>
            </w:pPr>
            <w:r>
              <w:rPr>
                <w:rFonts w:hint="eastAsia" w:ascii="宋体" w:hAnsi="宋体"/>
                <w:sz w:val="21"/>
                <w:szCs w:val="21"/>
              </w:rPr>
              <w:t>GB 4806.7-2023 《食品安全国家标准 食品接触用塑料材料及制品》</w:t>
            </w:r>
          </w:p>
        </w:tc>
      </w:tr>
      <w:tr w14:paraId="2886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pct"/>
            <w:tcBorders>
              <w:top w:val="single" w:color="auto" w:sz="4" w:space="0"/>
              <w:left w:val="single" w:color="auto" w:sz="4" w:space="0"/>
              <w:bottom w:val="single" w:color="auto" w:sz="4" w:space="0"/>
              <w:right w:val="single" w:color="auto" w:sz="4" w:space="0"/>
            </w:tcBorders>
            <w:shd w:val="clear" w:color="auto" w:fill="FFFFFF"/>
            <w:vAlign w:val="center"/>
          </w:tcPr>
          <w:p w14:paraId="7B75FEDD">
            <w:pPr>
              <w:jc w:val="center"/>
              <w:rPr>
                <w:rFonts w:ascii="宋体" w:hAnsi="宋体" w:cs="Times New Roman"/>
                <w:sz w:val="21"/>
                <w:szCs w:val="21"/>
              </w:rPr>
            </w:pPr>
            <w:r>
              <w:rPr>
                <w:rFonts w:hint="eastAsia" w:ascii="宋体" w:hAnsi="宋体"/>
                <w:sz w:val="21"/>
                <w:szCs w:val="21"/>
              </w:rPr>
              <w:t>重金属（以Pb计）</w:t>
            </w:r>
          </w:p>
        </w:tc>
        <w:tc>
          <w:tcPr>
            <w:tcW w:w="2372" w:type="pct"/>
            <w:tcBorders>
              <w:top w:val="single" w:color="auto" w:sz="4" w:space="0"/>
              <w:left w:val="single" w:color="auto" w:sz="4" w:space="0"/>
              <w:bottom w:val="single" w:color="auto" w:sz="4" w:space="0"/>
              <w:right w:val="single" w:color="auto" w:sz="4" w:space="0"/>
            </w:tcBorders>
            <w:shd w:val="clear" w:color="auto" w:fill="FFFFFF"/>
            <w:vAlign w:val="center"/>
          </w:tcPr>
          <w:p w14:paraId="78BF5DAA">
            <w:pPr>
              <w:jc w:val="center"/>
              <w:rPr>
                <w:rFonts w:ascii="宋体" w:hAnsi="宋体" w:cs="Times New Roman"/>
                <w:sz w:val="21"/>
                <w:szCs w:val="21"/>
              </w:rPr>
            </w:pPr>
            <w:r>
              <w:rPr>
                <w:rFonts w:hint="eastAsia" w:ascii="宋体" w:hAnsi="宋体"/>
                <w:sz w:val="21"/>
                <w:szCs w:val="21"/>
              </w:rPr>
              <w:t>GB 31604.9-2016《食品安全国家标准 食品接触材料及制品 食品模拟物中重金属的测定》</w:t>
            </w:r>
          </w:p>
        </w:tc>
        <w:tc>
          <w:tcPr>
            <w:tcW w:w="1872" w:type="pct"/>
            <w:tcBorders>
              <w:top w:val="single" w:color="auto" w:sz="4" w:space="0"/>
              <w:left w:val="single" w:color="auto" w:sz="4" w:space="0"/>
              <w:bottom w:val="single" w:color="auto" w:sz="4" w:space="0"/>
              <w:right w:val="single" w:color="auto" w:sz="4" w:space="0"/>
            </w:tcBorders>
            <w:vAlign w:val="center"/>
          </w:tcPr>
          <w:p w14:paraId="60794CD9">
            <w:pPr>
              <w:jc w:val="center"/>
              <w:rPr>
                <w:rFonts w:ascii="宋体" w:hAnsi="宋体" w:cs="Times New Roman"/>
                <w:sz w:val="21"/>
                <w:szCs w:val="21"/>
              </w:rPr>
            </w:pPr>
            <w:r>
              <w:rPr>
                <w:rFonts w:hint="eastAsia" w:ascii="宋体" w:hAnsi="宋体"/>
                <w:sz w:val="21"/>
                <w:szCs w:val="21"/>
              </w:rPr>
              <w:t>GB 4806.7-2023 《食品安全国家标准 食品接触用塑料材料及制品》</w:t>
            </w:r>
          </w:p>
        </w:tc>
      </w:tr>
      <w:tr w14:paraId="0F5A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pct"/>
            <w:tcBorders>
              <w:top w:val="single" w:color="auto" w:sz="4" w:space="0"/>
              <w:left w:val="single" w:color="auto" w:sz="4" w:space="0"/>
              <w:bottom w:val="single" w:color="auto" w:sz="4" w:space="0"/>
              <w:right w:val="single" w:color="auto" w:sz="4" w:space="0"/>
            </w:tcBorders>
            <w:shd w:val="clear" w:color="auto" w:fill="FFFFFF"/>
            <w:vAlign w:val="center"/>
          </w:tcPr>
          <w:p w14:paraId="3B553776">
            <w:pPr>
              <w:jc w:val="center"/>
              <w:rPr>
                <w:rFonts w:ascii="宋体" w:hAnsi="宋体" w:cs="Times New Roman"/>
                <w:sz w:val="21"/>
                <w:szCs w:val="21"/>
              </w:rPr>
            </w:pPr>
            <w:r>
              <w:rPr>
                <w:rFonts w:hint="eastAsia" w:ascii="宋体" w:hAnsi="宋体"/>
                <w:sz w:val="21"/>
                <w:szCs w:val="21"/>
              </w:rPr>
              <w:t>芳香族伯胺迁移总量</w:t>
            </w:r>
          </w:p>
        </w:tc>
        <w:tc>
          <w:tcPr>
            <w:tcW w:w="2372" w:type="pct"/>
            <w:tcBorders>
              <w:top w:val="single" w:color="auto" w:sz="4" w:space="0"/>
              <w:left w:val="single" w:color="auto" w:sz="4" w:space="0"/>
              <w:bottom w:val="single" w:color="auto" w:sz="4" w:space="0"/>
              <w:right w:val="single" w:color="auto" w:sz="4" w:space="0"/>
            </w:tcBorders>
            <w:shd w:val="clear" w:color="auto" w:fill="FFFFFF"/>
            <w:vAlign w:val="center"/>
          </w:tcPr>
          <w:p w14:paraId="4F3D7F0F">
            <w:pPr>
              <w:jc w:val="center"/>
              <w:rPr>
                <w:rFonts w:ascii="宋体" w:hAnsi="宋体" w:cs="Times New Roman"/>
                <w:sz w:val="21"/>
                <w:szCs w:val="21"/>
              </w:rPr>
            </w:pPr>
            <w:r>
              <w:rPr>
                <w:rFonts w:hint="eastAsia" w:ascii="宋体" w:hAnsi="宋体"/>
                <w:sz w:val="21"/>
                <w:szCs w:val="21"/>
              </w:rPr>
              <w:t>GB 31604.52-2021《食品安全国家标准 食品接触材料及制品 芳香族伯胺迁移量的测定》</w:t>
            </w:r>
          </w:p>
        </w:tc>
        <w:tc>
          <w:tcPr>
            <w:tcW w:w="1872" w:type="pct"/>
            <w:tcBorders>
              <w:top w:val="single" w:color="auto" w:sz="4" w:space="0"/>
              <w:left w:val="single" w:color="auto" w:sz="4" w:space="0"/>
              <w:bottom w:val="single" w:color="auto" w:sz="4" w:space="0"/>
              <w:right w:val="single" w:color="auto" w:sz="4" w:space="0"/>
            </w:tcBorders>
            <w:vAlign w:val="center"/>
          </w:tcPr>
          <w:p w14:paraId="05405073">
            <w:pPr>
              <w:jc w:val="center"/>
              <w:rPr>
                <w:rFonts w:ascii="宋体" w:hAnsi="宋体" w:cs="Times New Roman"/>
                <w:sz w:val="21"/>
                <w:szCs w:val="21"/>
              </w:rPr>
            </w:pPr>
            <w:r>
              <w:rPr>
                <w:rFonts w:hint="eastAsia" w:ascii="宋体" w:hAnsi="宋体"/>
                <w:sz w:val="21"/>
                <w:szCs w:val="21"/>
              </w:rPr>
              <w:t>GB 4806.7-2023 《食品安全国家标准 食品接触用塑料材料及制品》</w:t>
            </w:r>
          </w:p>
        </w:tc>
      </w:tr>
      <w:tr w14:paraId="3DDA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pct"/>
            <w:tcBorders>
              <w:top w:val="single" w:color="auto" w:sz="4" w:space="0"/>
              <w:left w:val="single" w:color="auto" w:sz="4" w:space="0"/>
              <w:bottom w:val="single" w:color="auto" w:sz="4" w:space="0"/>
              <w:right w:val="single" w:color="auto" w:sz="4" w:space="0"/>
            </w:tcBorders>
            <w:vAlign w:val="center"/>
          </w:tcPr>
          <w:p w14:paraId="2EF9C991">
            <w:pPr>
              <w:jc w:val="center"/>
              <w:rPr>
                <w:rFonts w:ascii="宋体" w:hAnsi="宋体" w:cs="Times New Roman"/>
                <w:sz w:val="21"/>
                <w:szCs w:val="21"/>
              </w:rPr>
            </w:pPr>
            <w:r>
              <w:rPr>
                <w:rFonts w:hint="eastAsia" w:ascii="宋体" w:hAnsi="宋体"/>
                <w:sz w:val="21"/>
                <w:szCs w:val="21"/>
              </w:rPr>
              <w:t>邻苯二甲酸酯特定迁移量</w:t>
            </w:r>
          </w:p>
        </w:tc>
        <w:tc>
          <w:tcPr>
            <w:tcW w:w="2372" w:type="pct"/>
            <w:tcBorders>
              <w:top w:val="single" w:color="auto" w:sz="4" w:space="0"/>
              <w:left w:val="single" w:color="auto" w:sz="4" w:space="0"/>
              <w:bottom w:val="single" w:color="auto" w:sz="4" w:space="0"/>
              <w:right w:val="single" w:color="auto" w:sz="4" w:space="0"/>
            </w:tcBorders>
            <w:vAlign w:val="center"/>
          </w:tcPr>
          <w:p w14:paraId="3FB67F97">
            <w:pPr>
              <w:jc w:val="center"/>
              <w:rPr>
                <w:rFonts w:ascii="宋体" w:hAnsi="宋体" w:cs="Times New Roman"/>
                <w:sz w:val="21"/>
                <w:szCs w:val="21"/>
              </w:rPr>
            </w:pPr>
            <w:r>
              <w:rPr>
                <w:rFonts w:hint="eastAsia" w:ascii="宋体" w:hAnsi="宋体"/>
                <w:sz w:val="21"/>
                <w:szCs w:val="21"/>
              </w:rPr>
              <w:t>GB 31604.30-2016《食品安全国家标准 食品接触材料及制品 邻苯二甲酸酯的测定和迁移量的测定》</w:t>
            </w:r>
          </w:p>
        </w:tc>
        <w:tc>
          <w:tcPr>
            <w:tcW w:w="1872" w:type="pct"/>
            <w:tcBorders>
              <w:top w:val="single" w:color="auto" w:sz="4" w:space="0"/>
              <w:left w:val="single" w:color="auto" w:sz="4" w:space="0"/>
              <w:bottom w:val="single" w:color="auto" w:sz="4" w:space="0"/>
              <w:right w:val="single" w:color="auto" w:sz="4" w:space="0"/>
            </w:tcBorders>
            <w:vAlign w:val="center"/>
          </w:tcPr>
          <w:p w14:paraId="57499B5F">
            <w:pPr>
              <w:jc w:val="center"/>
              <w:rPr>
                <w:rFonts w:ascii="宋体" w:hAnsi="宋体" w:cs="Times New Roman"/>
                <w:sz w:val="21"/>
                <w:szCs w:val="21"/>
              </w:rPr>
            </w:pPr>
            <w:r>
              <w:rPr>
                <w:rFonts w:hint="eastAsia" w:ascii="宋体" w:hAnsi="宋体"/>
                <w:sz w:val="21"/>
                <w:szCs w:val="21"/>
              </w:rPr>
              <w:t>欧盟用于接触食物的塑料材料和物品法规(EU)No10/2011及其修订法规</w:t>
            </w:r>
          </w:p>
        </w:tc>
      </w:tr>
    </w:tbl>
    <w:p w14:paraId="62EEBDBB">
      <w:pPr>
        <w:rPr>
          <w:rFonts w:hint="eastAsia"/>
        </w:rPr>
      </w:pPr>
    </w:p>
    <w:p w14:paraId="006D6AA8">
      <w:pPr>
        <w:pStyle w:val="2"/>
      </w:pPr>
      <w:r>
        <w:rPr>
          <w:rFonts w:hint="eastAsia"/>
        </w:rPr>
        <w:t>五</w:t>
      </w:r>
      <w:r>
        <w:t>、结果分析</w:t>
      </w:r>
      <w:r>
        <w:rPr>
          <w:rFonts w:hint="eastAsia"/>
        </w:rPr>
        <w:t>和风险评估</w:t>
      </w:r>
    </w:p>
    <w:p w14:paraId="00A1516D">
      <w:pPr>
        <w:pStyle w:val="3"/>
      </w:pPr>
      <w:r>
        <w:t>5.1</w:t>
      </w:r>
      <w:r>
        <w:rPr>
          <w:rFonts w:hint="eastAsia"/>
        </w:rPr>
        <w:t>监测数据分析和</w:t>
      </w:r>
      <w:r>
        <w:t>风险评估</w:t>
      </w:r>
    </w:p>
    <w:p w14:paraId="47BD8463">
      <w:pPr>
        <w:ind w:firstLine="480" w:firstLineChars="200"/>
      </w:pPr>
      <w:r>
        <w:rPr>
          <w:rFonts w:hint="eastAsia"/>
        </w:rPr>
        <w:t>本次</w:t>
      </w:r>
      <w:r>
        <w:t>风险监测</w:t>
      </w:r>
      <w:r>
        <w:rPr>
          <w:rFonts w:hint="eastAsia"/>
        </w:rPr>
        <w:t>项目检测结果数据</w:t>
      </w:r>
      <w:r>
        <w:t>分析</w:t>
      </w:r>
      <w:r>
        <w:rPr>
          <w:rFonts w:hint="eastAsia"/>
        </w:rPr>
        <w:t>从样品类别、采样渠道、采样区域、样品产地、样品价格</w:t>
      </w:r>
      <w:r>
        <w:t>和</w:t>
      </w:r>
      <w:r>
        <w:rPr>
          <w:rFonts w:hint="eastAsia"/>
        </w:rPr>
        <w:t>检验项目等各个</w:t>
      </w:r>
      <w:r>
        <w:t>维度</w:t>
      </w:r>
      <w:r>
        <w:rPr>
          <w:rFonts w:hint="eastAsia"/>
        </w:rPr>
        <w:t>进行，在分析的过程中采用比较分析、图表分析等方法进行综合分析，</w:t>
      </w:r>
      <w:r>
        <w:t>说明</w:t>
      </w:r>
      <w:r>
        <w:rPr>
          <w:rFonts w:hint="eastAsia"/>
        </w:rPr>
        <w:t>各类</w:t>
      </w:r>
      <w:r>
        <w:t>产品存在的问题、</w:t>
      </w:r>
      <w:r>
        <w:rPr>
          <w:rFonts w:hint="eastAsia"/>
        </w:rPr>
        <w:t>问题发生的</w:t>
      </w:r>
      <w:r>
        <w:t>比例、问题</w:t>
      </w:r>
      <w:r>
        <w:rPr>
          <w:rFonts w:hint="eastAsia"/>
        </w:rPr>
        <w:t>造成</w:t>
      </w:r>
      <w:r>
        <w:t>的危害及产生的原因。</w:t>
      </w:r>
    </w:p>
    <w:p w14:paraId="4C8C9B5F">
      <w:pPr>
        <w:ind w:firstLine="480" w:firstLineChars="200"/>
      </w:pPr>
      <w:r>
        <w:rPr>
          <w:rFonts w:hint="eastAsia"/>
        </w:rPr>
        <w:t>本次</w:t>
      </w:r>
      <w:r>
        <w:t>风险监测</w:t>
      </w:r>
      <w:r>
        <w:rPr>
          <w:rFonts w:hint="eastAsia"/>
        </w:rPr>
        <w:t>项目采用参考限值法等</w:t>
      </w:r>
      <w:r>
        <w:t>多种方法</w:t>
      </w:r>
      <w:r>
        <w:rPr>
          <w:rFonts w:hint="eastAsia"/>
        </w:rPr>
        <w:t>，对于超过标准限值的指标和产品给予详细</w:t>
      </w:r>
      <w:r>
        <w:t>分析和</w:t>
      </w:r>
      <w:r>
        <w:rPr>
          <w:rFonts w:hint="eastAsia"/>
        </w:rPr>
        <w:t>风险预警提示。</w:t>
      </w:r>
    </w:p>
    <w:p w14:paraId="49316F17">
      <w:pPr>
        <w:pStyle w:val="3"/>
      </w:pPr>
      <w:r>
        <w:t>5.2</w:t>
      </w:r>
      <w:r>
        <w:rPr>
          <w:rFonts w:hint="eastAsia"/>
        </w:rPr>
        <w:t>监测结果处置</w:t>
      </w:r>
    </w:p>
    <w:p w14:paraId="10986447">
      <w:pPr>
        <w:ind w:firstLine="480" w:firstLineChars="200"/>
      </w:pPr>
      <w:r>
        <w:rPr>
          <w:rFonts w:hint="eastAsia"/>
        </w:rPr>
        <w:t>根据风险监测结果，指出产品存在的质量风险，给消费者提供购买和使用建议；根据</w:t>
      </w:r>
      <w:r>
        <w:t>质量风险原因分析情况，</w:t>
      </w:r>
      <w:r>
        <w:rPr>
          <w:rFonts w:hint="eastAsia"/>
        </w:rPr>
        <w:t>引导生产和经销企业严格把关生产</w:t>
      </w:r>
      <w:r>
        <w:t>、销售的产品质量</w:t>
      </w:r>
      <w:r>
        <w:rPr>
          <w:rFonts w:hint="eastAsia"/>
        </w:rPr>
        <w:t>，切实保障产品质量安全。并通过监测数据分析，解读产品现有标准，提出制、修订标准建议，为政府部门提供决策参考建议等。</w:t>
      </w:r>
    </w:p>
    <w:p w14:paraId="414BC3EC">
      <w:pPr>
        <w:pStyle w:val="2"/>
      </w:pPr>
      <w:r>
        <w:rPr>
          <w:rFonts w:hint="eastAsia"/>
        </w:rPr>
        <w:t>六</w:t>
      </w:r>
      <w:r>
        <w:t>、</w:t>
      </w:r>
      <w:r>
        <w:rPr>
          <w:rFonts w:hint="eastAsia"/>
        </w:rPr>
        <w:t>技术</w:t>
      </w:r>
      <w:r>
        <w:t>机构资质和能力</w:t>
      </w:r>
    </w:p>
    <w:p w14:paraId="12A7FD31">
      <w:pPr>
        <w:ind w:firstLine="480" w:firstLineChars="200"/>
      </w:pPr>
      <w:r>
        <w:rPr>
          <w:rFonts w:hint="eastAsia"/>
        </w:rPr>
        <w:t>深圳市英柏检测技术有限公司（简称英柏检测）是一家集检验、检测、认证及标准技术服务为一体的综合型检验检测机构。</w:t>
      </w:r>
      <w:r>
        <w:t>检测范围覆盖纺织品与服装、鞋类箱包、玩具、</w:t>
      </w:r>
      <w:r>
        <w:rPr>
          <w:rFonts w:hint="eastAsia"/>
        </w:rPr>
        <w:t>学生</w:t>
      </w:r>
      <w:r>
        <w:t>用品</w:t>
      </w:r>
      <w:r>
        <w:rPr>
          <w:rFonts w:hint="eastAsia"/>
        </w:rPr>
        <w:t>、</w:t>
      </w:r>
      <w:r>
        <w:t>轻工产品、食品</w:t>
      </w:r>
      <w:r>
        <w:rPr>
          <w:rFonts w:hint="eastAsia"/>
        </w:rPr>
        <w:t>相关产品</w:t>
      </w:r>
      <w:r>
        <w:t>、环境检测和职业卫生</w:t>
      </w:r>
      <w:r>
        <w:rPr>
          <w:rFonts w:hint="eastAsia"/>
        </w:rPr>
        <w:t>检测</w:t>
      </w:r>
      <w:r>
        <w:t>等多个领域</w:t>
      </w:r>
      <w:r>
        <w:rPr>
          <w:rFonts w:hint="eastAsia"/>
        </w:rPr>
        <w:t>，</w:t>
      </w:r>
      <w:r>
        <w:t>还</w:t>
      </w:r>
      <w:r>
        <w:rPr>
          <w:rFonts w:hint="eastAsia"/>
        </w:rPr>
        <w:t>可</w:t>
      </w:r>
      <w:r>
        <w:t>提供技术咨询及技术培训服务</w:t>
      </w:r>
      <w:r>
        <w:rPr>
          <w:rFonts w:hint="eastAsia"/>
        </w:rPr>
        <w:t>等。英柏检测目前已通过了检验检测机构资质认定CMA、实验室认可CNAS及美国消费品委员会CPSC认可，是国家级高新技术企业、海关总署首批采信机构。英柏检测对本次食品相关产品的风险监测项目均具有检验能力。</w:t>
      </w:r>
    </w:p>
    <w:p w14:paraId="51A90D14">
      <w:pPr>
        <w:ind w:firstLine="480" w:firstLineChars="200"/>
      </w:pPr>
      <w:r>
        <w:rPr>
          <w:rFonts w:hint="eastAsia"/>
        </w:rPr>
        <w:t>深圳市英柏检测技术有限公司拥有一批长期从事相关产品检测的中高级专业技术人员，团队成员</w:t>
      </w:r>
      <w:r>
        <w:t>2</w:t>
      </w:r>
      <w:r>
        <w:rPr>
          <w:rFonts w:hint="eastAsia"/>
        </w:rPr>
        <w:t>00名以上，核心团队平均行业经验1</w:t>
      </w:r>
      <w:r>
        <w:t>0</w:t>
      </w:r>
      <w:r>
        <w:rPr>
          <w:rFonts w:hint="eastAsia"/>
        </w:rPr>
        <w:t>年以上，对行业发展趋势有着深刻的洞察力，同时也担任多个标委会委员和国内标准起草者，拥有承担本次风险监测方案中的相关产品检验需要的全部检测设备。深圳市英柏检测技术有限公司近年来多次承担全国各地政府部门相关产品风险监测工作，有着丰富的产品质量风险监测的相关经验，在人、机、料、法、环等方面能完全满足委托方对项目的要求。</w:t>
      </w:r>
    </w:p>
    <w:p w14:paraId="68D8AD6D">
      <w:pPr>
        <w:pStyle w:val="2"/>
      </w:pPr>
      <w:r>
        <w:rPr>
          <w:rFonts w:hint="eastAsia"/>
        </w:rPr>
        <w:t>七</w:t>
      </w:r>
      <w:r>
        <w:t>、</w:t>
      </w:r>
      <w:r>
        <w:rPr>
          <w:rFonts w:hint="eastAsia"/>
        </w:rPr>
        <w:t>工作实施周期</w:t>
      </w:r>
    </w:p>
    <w:p w14:paraId="5B822C1A">
      <w:pPr>
        <w:jc w:val="center"/>
      </w:pPr>
      <w:r>
        <w:rPr>
          <w:rFonts w:hint="eastAsia"/>
        </w:rPr>
        <w:t>表</w:t>
      </w:r>
      <w:r>
        <w:t xml:space="preserve">5 </w:t>
      </w:r>
      <w:r>
        <w:rPr>
          <w:rFonts w:hint="eastAsia"/>
        </w:rPr>
        <w:t>实施周期表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5824"/>
        <w:gridCol w:w="1829"/>
      </w:tblGrid>
      <w:tr w14:paraId="3FF2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2BE2C4CD">
            <w:pPr>
              <w:spacing w:line="240" w:lineRule="auto"/>
              <w:jc w:val="center"/>
              <w:rPr>
                <w:sz w:val="21"/>
              </w:rPr>
            </w:pPr>
            <w:r>
              <w:rPr>
                <w:rFonts w:hint="eastAsia"/>
                <w:sz w:val="21"/>
              </w:rPr>
              <w:t>序号</w:t>
            </w:r>
          </w:p>
        </w:tc>
        <w:tc>
          <w:tcPr>
            <w:tcW w:w="3417" w:type="pct"/>
            <w:vAlign w:val="center"/>
          </w:tcPr>
          <w:p w14:paraId="35A4C0C5">
            <w:pPr>
              <w:spacing w:line="240" w:lineRule="auto"/>
              <w:jc w:val="center"/>
              <w:rPr>
                <w:sz w:val="21"/>
              </w:rPr>
            </w:pPr>
            <w:r>
              <w:rPr>
                <w:rFonts w:hint="eastAsia"/>
                <w:sz w:val="21"/>
              </w:rPr>
              <w:t>工作环节</w:t>
            </w:r>
          </w:p>
        </w:tc>
        <w:tc>
          <w:tcPr>
            <w:tcW w:w="1073" w:type="pct"/>
            <w:vAlign w:val="center"/>
          </w:tcPr>
          <w:p w14:paraId="0C84064F">
            <w:pPr>
              <w:spacing w:line="240" w:lineRule="auto"/>
              <w:jc w:val="center"/>
              <w:rPr>
                <w:sz w:val="21"/>
              </w:rPr>
            </w:pPr>
            <w:r>
              <w:rPr>
                <w:rFonts w:hint="eastAsia"/>
                <w:sz w:val="21"/>
              </w:rPr>
              <w:t>时间周期(天)</w:t>
            </w:r>
          </w:p>
        </w:tc>
      </w:tr>
      <w:tr w14:paraId="7D9B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5D346C28">
            <w:pPr>
              <w:spacing w:line="240" w:lineRule="auto"/>
              <w:jc w:val="center"/>
              <w:rPr>
                <w:sz w:val="21"/>
              </w:rPr>
            </w:pPr>
            <w:r>
              <w:rPr>
                <w:rFonts w:hint="eastAsia"/>
                <w:sz w:val="21"/>
              </w:rPr>
              <w:t>1</w:t>
            </w:r>
          </w:p>
        </w:tc>
        <w:tc>
          <w:tcPr>
            <w:tcW w:w="3417" w:type="pct"/>
            <w:vAlign w:val="center"/>
          </w:tcPr>
          <w:p w14:paraId="3F2624B4">
            <w:pPr>
              <w:spacing w:line="240" w:lineRule="auto"/>
              <w:jc w:val="center"/>
              <w:rPr>
                <w:sz w:val="21"/>
              </w:rPr>
            </w:pPr>
            <w:r>
              <w:rPr>
                <w:rFonts w:hint="eastAsia"/>
                <w:sz w:val="21"/>
              </w:rPr>
              <w:t>采样阶段（采集样品及时</w:t>
            </w:r>
            <w:r>
              <w:rPr>
                <w:sz w:val="21"/>
              </w:rPr>
              <w:t>寄送至实验室，</w:t>
            </w:r>
            <w:r>
              <w:rPr>
                <w:rFonts w:hint="eastAsia"/>
                <w:sz w:val="21"/>
              </w:rPr>
              <w:t>实验室</w:t>
            </w:r>
            <w:r>
              <w:rPr>
                <w:sz w:val="21"/>
              </w:rPr>
              <w:t>收到样品即</w:t>
            </w:r>
            <w:r>
              <w:rPr>
                <w:rFonts w:hint="eastAsia"/>
                <w:sz w:val="21"/>
              </w:rPr>
              <w:t>安排</w:t>
            </w:r>
            <w:r>
              <w:rPr>
                <w:sz w:val="21"/>
              </w:rPr>
              <w:t>测试</w:t>
            </w:r>
            <w:r>
              <w:rPr>
                <w:rFonts w:hint="eastAsia"/>
                <w:sz w:val="21"/>
              </w:rPr>
              <w:t>）</w:t>
            </w:r>
          </w:p>
        </w:tc>
        <w:tc>
          <w:tcPr>
            <w:tcW w:w="1073" w:type="pct"/>
            <w:vAlign w:val="center"/>
          </w:tcPr>
          <w:p w14:paraId="355AF5FE">
            <w:pPr>
              <w:spacing w:line="240" w:lineRule="auto"/>
              <w:jc w:val="center"/>
              <w:rPr>
                <w:sz w:val="21"/>
              </w:rPr>
            </w:pPr>
            <w:r>
              <w:rPr>
                <w:rFonts w:hint="eastAsia"/>
                <w:sz w:val="21"/>
              </w:rPr>
              <w:t>20</w:t>
            </w:r>
          </w:p>
        </w:tc>
      </w:tr>
      <w:tr w14:paraId="3CAB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5F1F25A8">
            <w:pPr>
              <w:spacing w:line="240" w:lineRule="auto"/>
              <w:jc w:val="center"/>
              <w:rPr>
                <w:sz w:val="21"/>
              </w:rPr>
            </w:pPr>
            <w:r>
              <w:rPr>
                <w:rFonts w:hint="eastAsia"/>
                <w:sz w:val="21"/>
              </w:rPr>
              <w:t>2</w:t>
            </w:r>
          </w:p>
        </w:tc>
        <w:tc>
          <w:tcPr>
            <w:tcW w:w="3417" w:type="pct"/>
            <w:vAlign w:val="center"/>
          </w:tcPr>
          <w:p w14:paraId="48F48FD9">
            <w:pPr>
              <w:spacing w:line="240" w:lineRule="auto"/>
              <w:jc w:val="center"/>
              <w:rPr>
                <w:sz w:val="21"/>
              </w:rPr>
            </w:pPr>
            <w:r>
              <w:rPr>
                <w:rFonts w:hint="eastAsia"/>
                <w:sz w:val="21"/>
              </w:rPr>
              <w:t>从</w:t>
            </w:r>
            <w:r>
              <w:rPr>
                <w:sz w:val="21"/>
              </w:rPr>
              <w:t>收到最后一批样品到</w:t>
            </w:r>
            <w:r>
              <w:rPr>
                <w:rFonts w:hint="eastAsia"/>
                <w:sz w:val="21"/>
              </w:rPr>
              <w:t>检测</w:t>
            </w:r>
            <w:r>
              <w:rPr>
                <w:sz w:val="21"/>
              </w:rPr>
              <w:t>到</w:t>
            </w:r>
            <w:r>
              <w:rPr>
                <w:rFonts w:hint="eastAsia"/>
                <w:sz w:val="21"/>
              </w:rPr>
              <w:t>出具</w:t>
            </w:r>
            <w:r>
              <w:rPr>
                <w:sz w:val="21"/>
              </w:rPr>
              <w:t>报告</w:t>
            </w:r>
            <w:r>
              <w:rPr>
                <w:rFonts w:hint="eastAsia"/>
                <w:sz w:val="21"/>
              </w:rPr>
              <w:t>完成</w:t>
            </w:r>
          </w:p>
        </w:tc>
        <w:tc>
          <w:tcPr>
            <w:tcW w:w="1073" w:type="pct"/>
            <w:vAlign w:val="center"/>
          </w:tcPr>
          <w:p w14:paraId="693F4E4C">
            <w:pPr>
              <w:spacing w:line="240" w:lineRule="auto"/>
              <w:jc w:val="center"/>
              <w:rPr>
                <w:sz w:val="21"/>
              </w:rPr>
            </w:pPr>
            <w:r>
              <w:rPr>
                <w:sz w:val="21"/>
              </w:rPr>
              <w:t>2</w:t>
            </w:r>
            <w:r>
              <w:rPr>
                <w:rFonts w:hint="eastAsia"/>
                <w:sz w:val="21"/>
              </w:rPr>
              <w:t>0</w:t>
            </w:r>
          </w:p>
        </w:tc>
      </w:tr>
      <w:tr w14:paraId="41E3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pct"/>
            <w:vAlign w:val="center"/>
          </w:tcPr>
          <w:p w14:paraId="20CB0BD8">
            <w:pPr>
              <w:spacing w:line="240" w:lineRule="auto"/>
              <w:jc w:val="center"/>
              <w:rPr>
                <w:sz w:val="21"/>
              </w:rPr>
            </w:pPr>
            <w:r>
              <w:rPr>
                <w:rFonts w:hint="eastAsia"/>
                <w:sz w:val="21"/>
              </w:rPr>
              <w:t>3</w:t>
            </w:r>
          </w:p>
        </w:tc>
        <w:tc>
          <w:tcPr>
            <w:tcW w:w="3417" w:type="pct"/>
            <w:vAlign w:val="center"/>
          </w:tcPr>
          <w:p w14:paraId="28921AD6">
            <w:pPr>
              <w:spacing w:line="240" w:lineRule="auto"/>
              <w:jc w:val="center"/>
              <w:rPr>
                <w:sz w:val="21"/>
              </w:rPr>
            </w:pPr>
            <w:r>
              <w:rPr>
                <w:rFonts w:hint="eastAsia"/>
                <w:sz w:val="21"/>
              </w:rPr>
              <w:t>汇总表格</w:t>
            </w:r>
            <w:r>
              <w:rPr>
                <w:sz w:val="21"/>
              </w:rPr>
              <w:t>、</w:t>
            </w:r>
            <w:r>
              <w:rPr>
                <w:rFonts w:hint="eastAsia"/>
                <w:sz w:val="21"/>
              </w:rPr>
              <w:t>风险监测分析报告制作</w:t>
            </w:r>
            <w:r>
              <w:rPr>
                <w:sz w:val="21"/>
              </w:rPr>
              <w:t>及</w:t>
            </w:r>
            <w:r>
              <w:rPr>
                <w:rFonts w:hint="eastAsia"/>
                <w:sz w:val="21"/>
              </w:rPr>
              <w:t>上报阶段</w:t>
            </w:r>
          </w:p>
        </w:tc>
        <w:tc>
          <w:tcPr>
            <w:tcW w:w="1073" w:type="pct"/>
            <w:vAlign w:val="center"/>
          </w:tcPr>
          <w:p w14:paraId="081C5485">
            <w:pPr>
              <w:spacing w:line="240" w:lineRule="auto"/>
              <w:jc w:val="center"/>
              <w:rPr>
                <w:sz w:val="21"/>
              </w:rPr>
            </w:pPr>
            <w:r>
              <w:rPr>
                <w:rFonts w:hint="eastAsia"/>
                <w:sz w:val="21"/>
              </w:rPr>
              <w:t>20</w:t>
            </w:r>
          </w:p>
        </w:tc>
      </w:tr>
      <w:tr w14:paraId="7C3D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7" w:type="pct"/>
            <w:gridSpan w:val="2"/>
            <w:vAlign w:val="center"/>
          </w:tcPr>
          <w:p w14:paraId="4113FB18">
            <w:pPr>
              <w:spacing w:line="240" w:lineRule="auto"/>
              <w:jc w:val="center"/>
              <w:rPr>
                <w:sz w:val="21"/>
              </w:rPr>
            </w:pPr>
            <w:r>
              <w:rPr>
                <w:rFonts w:hint="eastAsia"/>
                <w:sz w:val="21"/>
              </w:rPr>
              <w:t>任务周期合计</w:t>
            </w:r>
          </w:p>
        </w:tc>
        <w:tc>
          <w:tcPr>
            <w:tcW w:w="1073" w:type="pct"/>
            <w:vAlign w:val="center"/>
          </w:tcPr>
          <w:p w14:paraId="36948EFA">
            <w:pPr>
              <w:spacing w:line="240" w:lineRule="auto"/>
              <w:jc w:val="center"/>
              <w:rPr>
                <w:sz w:val="21"/>
              </w:rPr>
            </w:pPr>
            <w:r>
              <w:rPr>
                <w:sz w:val="21"/>
              </w:rPr>
              <w:t>6</w:t>
            </w:r>
            <w:r>
              <w:rPr>
                <w:rFonts w:hint="eastAsia"/>
                <w:sz w:val="21"/>
              </w:rPr>
              <w:t>0</w:t>
            </w:r>
          </w:p>
        </w:tc>
      </w:tr>
    </w:tbl>
    <w:p w14:paraId="4636DF2C"/>
    <w:p w14:paraId="56A6CC40">
      <w:pPr>
        <w:widowControl/>
        <w:spacing w:line="240" w:lineRule="auto"/>
        <w:jc w:val="left"/>
      </w:pPr>
      <w:bookmarkStart w:id="3" w:name="_GoBack"/>
      <w:bookmarkEnd w:id="3"/>
    </w:p>
    <w:sectPr>
      <w:pgSz w:w="11906" w:h="16838"/>
      <w:pgMar w:top="1440" w:right="1800" w:bottom="1440" w:left="1800" w:header="720" w:footer="720"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SourceHanSerifCN-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C1473"/>
    <w:multiLevelType w:val="multilevel"/>
    <w:tmpl w:val="795C1473"/>
    <w:lvl w:ilvl="0" w:tentative="0">
      <w:start w:val="1"/>
      <w:numFmt w:val="decimal"/>
      <w:pStyle w:val="25"/>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8B"/>
    <w:rsid w:val="00001831"/>
    <w:rsid w:val="0002492C"/>
    <w:rsid w:val="0006209A"/>
    <w:rsid w:val="000B3742"/>
    <w:rsid w:val="000E16FC"/>
    <w:rsid w:val="0010007D"/>
    <w:rsid w:val="00161589"/>
    <w:rsid w:val="00172F3D"/>
    <w:rsid w:val="0018495B"/>
    <w:rsid w:val="001B38EF"/>
    <w:rsid w:val="002272D9"/>
    <w:rsid w:val="0025001B"/>
    <w:rsid w:val="00287F5F"/>
    <w:rsid w:val="00300DEC"/>
    <w:rsid w:val="00350212"/>
    <w:rsid w:val="00380C80"/>
    <w:rsid w:val="0039124D"/>
    <w:rsid w:val="003A751F"/>
    <w:rsid w:val="003B490C"/>
    <w:rsid w:val="00445124"/>
    <w:rsid w:val="0048630F"/>
    <w:rsid w:val="00495579"/>
    <w:rsid w:val="004A04D2"/>
    <w:rsid w:val="004A3747"/>
    <w:rsid w:val="004C22D6"/>
    <w:rsid w:val="004C306D"/>
    <w:rsid w:val="004D59EA"/>
    <w:rsid w:val="004F722F"/>
    <w:rsid w:val="0051558C"/>
    <w:rsid w:val="00515B2B"/>
    <w:rsid w:val="005A01CB"/>
    <w:rsid w:val="005C5CA8"/>
    <w:rsid w:val="00635644"/>
    <w:rsid w:val="006A00A0"/>
    <w:rsid w:val="006C4AAB"/>
    <w:rsid w:val="00700379"/>
    <w:rsid w:val="007C5B42"/>
    <w:rsid w:val="007D308B"/>
    <w:rsid w:val="00814A26"/>
    <w:rsid w:val="00856F92"/>
    <w:rsid w:val="008877CC"/>
    <w:rsid w:val="008928CC"/>
    <w:rsid w:val="008A4151"/>
    <w:rsid w:val="008B7565"/>
    <w:rsid w:val="008C3ACF"/>
    <w:rsid w:val="008C40E3"/>
    <w:rsid w:val="008F0B1C"/>
    <w:rsid w:val="0091172F"/>
    <w:rsid w:val="009407F0"/>
    <w:rsid w:val="009413A9"/>
    <w:rsid w:val="0094481B"/>
    <w:rsid w:val="00953C09"/>
    <w:rsid w:val="009D0F01"/>
    <w:rsid w:val="00A07DF6"/>
    <w:rsid w:val="00A32B43"/>
    <w:rsid w:val="00A63163"/>
    <w:rsid w:val="00A63189"/>
    <w:rsid w:val="00A7230E"/>
    <w:rsid w:val="00A96138"/>
    <w:rsid w:val="00AA5A14"/>
    <w:rsid w:val="00AE5E46"/>
    <w:rsid w:val="00AF19E6"/>
    <w:rsid w:val="00AF5A3C"/>
    <w:rsid w:val="00B04294"/>
    <w:rsid w:val="00B3788F"/>
    <w:rsid w:val="00B74149"/>
    <w:rsid w:val="00BA52CA"/>
    <w:rsid w:val="00BB5EFF"/>
    <w:rsid w:val="00BE348C"/>
    <w:rsid w:val="00C3152E"/>
    <w:rsid w:val="00C53A9F"/>
    <w:rsid w:val="00C53BD6"/>
    <w:rsid w:val="00CD3D10"/>
    <w:rsid w:val="00D41DAA"/>
    <w:rsid w:val="00E733EB"/>
    <w:rsid w:val="00E93386"/>
    <w:rsid w:val="00EC1929"/>
    <w:rsid w:val="00EC72B1"/>
    <w:rsid w:val="00ED33A1"/>
    <w:rsid w:val="00F65378"/>
    <w:rsid w:val="00F826C1"/>
    <w:rsid w:val="00FA3ADB"/>
    <w:rsid w:val="00FA462C"/>
    <w:rsid w:val="00FC263E"/>
    <w:rsid w:val="01B85F94"/>
    <w:rsid w:val="05D76941"/>
    <w:rsid w:val="09427F7F"/>
    <w:rsid w:val="096325B7"/>
    <w:rsid w:val="0BD53BE7"/>
    <w:rsid w:val="103C47EE"/>
    <w:rsid w:val="11B9149F"/>
    <w:rsid w:val="11DF30C9"/>
    <w:rsid w:val="15602773"/>
    <w:rsid w:val="1591203E"/>
    <w:rsid w:val="18516EB5"/>
    <w:rsid w:val="19B1628B"/>
    <w:rsid w:val="1C6C5822"/>
    <w:rsid w:val="1EE829FE"/>
    <w:rsid w:val="1FBC4DE6"/>
    <w:rsid w:val="274F2647"/>
    <w:rsid w:val="28321D4D"/>
    <w:rsid w:val="28F039B6"/>
    <w:rsid w:val="29C25353"/>
    <w:rsid w:val="2E972C8C"/>
    <w:rsid w:val="2F4F7689"/>
    <w:rsid w:val="30696528"/>
    <w:rsid w:val="307E3E32"/>
    <w:rsid w:val="32F80298"/>
    <w:rsid w:val="346E5FF7"/>
    <w:rsid w:val="365B57C6"/>
    <w:rsid w:val="36AA1648"/>
    <w:rsid w:val="38040C0E"/>
    <w:rsid w:val="38F82B3F"/>
    <w:rsid w:val="3B3B6D13"/>
    <w:rsid w:val="3CCB40C7"/>
    <w:rsid w:val="3DBD6105"/>
    <w:rsid w:val="4226071D"/>
    <w:rsid w:val="46772FD8"/>
    <w:rsid w:val="496164DE"/>
    <w:rsid w:val="557B0906"/>
    <w:rsid w:val="57C904C6"/>
    <w:rsid w:val="586B4C84"/>
    <w:rsid w:val="5C02145B"/>
    <w:rsid w:val="63BD3EBA"/>
    <w:rsid w:val="67723C3F"/>
    <w:rsid w:val="6F69617E"/>
    <w:rsid w:val="708E1A99"/>
    <w:rsid w:val="76A2766B"/>
    <w:rsid w:val="76B33626"/>
    <w:rsid w:val="7CD3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4"/>
      <w:szCs w:val="21"/>
      <w:lang w:val="en-US" w:eastAsia="zh-CN" w:bidi="ar-SA"/>
    </w:rPr>
  </w:style>
  <w:style w:type="paragraph" w:styleId="2">
    <w:name w:val="heading 1"/>
    <w:basedOn w:val="1"/>
    <w:next w:val="1"/>
    <w:link w:val="22"/>
    <w:autoRedefine/>
    <w:qFormat/>
    <w:uiPriority w:val="0"/>
    <w:pPr>
      <w:keepNext/>
      <w:keepLines/>
      <w:outlineLvl w:val="0"/>
    </w:pPr>
    <w:rPr>
      <w:b/>
      <w:bCs/>
      <w:kern w:val="44"/>
      <w:sz w:val="28"/>
      <w:szCs w:val="44"/>
    </w:rPr>
  </w:style>
  <w:style w:type="paragraph" w:styleId="3">
    <w:name w:val="heading 2"/>
    <w:basedOn w:val="1"/>
    <w:next w:val="1"/>
    <w:link w:val="23"/>
    <w:autoRedefine/>
    <w:unhideWhenUsed/>
    <w:qFormat/>
    <w:uiPriority w:val="0"/>
    <w:pPr>
      <w:keepNext/>
      <w:keepLines/>
      <w:outlineLvl w:val="1"/>
    </w:pPr>
    <w:rPr>
      <w:rFonts w:cstheme="majorBidi"/>
      <w:b/>
      <w:bCs/>
      <w:szCs w:val="32"/>
    </w:rPr>
  </w:style>
  <w:style w:type="paragraph" w:styleId="4">
    <w:name w:val="heading 3"/>
    <w:basedOn w:val="1"/>
    <w:next w:val="1"/>
    <w:link w:val="24"/>
    <w:autoRedefine/>
    <w:qFormat/>
    <w:uiPriority w:val="0"/>
    <w:pPr>
      <w:keepNext/>
      <w:keepLines/>
      <w:spacing w:before="50" w:beforeLines="50" w:after="50" w:afterLines="50"/>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0"/>
    <w:autoRedefine/>
    <w:qFormat/>
    <w:uiPriority w:val="1"/>
    <w:pPr>
      <w:autoSpaceDE w:val="0"/>
      <w:autoSpaceDN w:val="0"/>
      <w:spacing w:line="240" w:lineRule="auto"/>
      <w:jc w:val="left"/>
    </w:pPr>
    <w:rPr>
      <w:rFonts w:cs="宋体"/>
      <w:kern w:val="0"/>
      <w:sz w:val="28"/>
      <w:szCs w:val="28"/>
    </w:rPr>
  </w:style>
  <w:style w:type="paragraph" w:styleId="6">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28"/>
    <w:unhideWhenUsed/>
    <w:uiPriority w:val="99"/>
    <w:pPr>
      <w:tabs>
        <w:tab w:val="center" w:pos="4153"/>
        <w:tab w:val="right" w:pos="8306"/>
      </w:tabs>
      <w:snapToGrid w:val="0"/>
      <w:spacing w:line="240" w:lineRule="auto"/>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color w:val="333333"/>
    </w:rPr>
  </w:style>
  <w:style w:type="character" w:styleId="13">
    <w:name w:val="FollowedHyperlink"/>
    <w:basedOn w:val="11"/>
    <w:semiHidden/>
    <w:unhideWhenUsed/>
    <w:qFormat/>
    <w:uiPriority w:val="99"/>
    <w:rPr>
      <w:color w:val="333333"/>
      <w:u w:val="single"/>
    </w:rPr>
  </w:style>
  <w:style w:type="character" w:styleId="14">
    <w:name w:val="Emphasis"/>
    <w:basedOn w:val="11"/>
    <w:qFormat/>
    <w:uiPriority w:val="20"/>
    <w:rPr>
      <w:b/>
      <w:bCs/>
    </w:rPr>
  </w:style>
  <w:style w:type="character" w:styleId="15">
    <w:name w:val="HTML Definition"/>
    <w:basedOn w:val="11"/>
    <w:semiHidden/>
    <w:unhideWhenUsed/>
    <w:qFormat/>
    <w:uiPriority w:val="99"/>
    <w:rPr>
      <w:i/>
      <w:iCs/>
    </w:rPr>
  </w:style>
  <w:style w:type="character" w:styleId="16">
    <w:name w:val="HTML Variable"/>
    <w:basedOn w:val="11"/>
    <w:semiHidden/>
    <w:unhideWhenUsed/>
    <w:uiPriority w:val="99"/>
  </w:style>
  <w:style w:type="character" w:styleId="17">
    <w:name w:val="Hyperlink"/>
    <w:basedOn w:val="11"/>
    <w:semiHidden/>
    <w:unhideWhenUsed/>
    <w:qFormat/>
    <w:uiPriority w:val="99"/>
    <w:rPr>
      <w:color w:val="333333"/>
      <w:u w:val="single"/>
    </w:rPr>
  </w:style>
  <w:style w:type="character" w:styleId="18">
    <w:name w:val="HTML Code"/>
    <w:basedOn w:val="11"/>
    <w:semiHidden/>
    <w:unhideWhenUsed/>
    <w:uiPriority w:val="99"/>
    <w:rPr>
      <w:rFonts w:hint="default" w:ascii="Consolas" w:hAnsi="Consolas" w:eastAsia="Consolas" w:cs="Consolas"/>
      <w:color w:val="C7254E"/>
      <w:sz w:val="21"/>
      <w:szCs w:val="21"/>
      <w:shd w:val="clear" w:fill="F9F2F4"/>
    </w:rPr>
  </w:style>
  <w:style w:type="character" w:styleId="19">
    <w:name w:val="HTML Cite"/>
    <w:basedOn w:val="11"/>
    <w:semiHidden/>
    <w:unhideWhenUsed/>
    <w:qFormat/>
    <w:uiPriority w:val="99"/>
  </w:style>
  <w:style w:type="character" w:styleId="20">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21">
    <w:name w:val="HTML Sample"/>
    <w:basedOn w:val="11"/>
    <w:semiHidden/>
    <w:unhideWhenUsed/>
    <w:qFormat/>
    <w:uiPriority w:val="99"/>
    <w:rPr>
      <w:rFonts w:ascii="Consolas" w:hAnsi="Consolas" w:eastAsia="Consolas" w:cs="Consolas"/>
      <w:sz w:val="21"/>
      <w:szCs w:val="21"/>
    </w:rPr>
  </w:style>
  <w:style w:type="character" w:customStyle="1" w:styleId="22">
    <w:name w:val="标题 1 Char"/>
    <w:basedOn w:val="11"/>
    <w:link w:val="2"/>
    <w:qFormat/>
    <w:uiPriority w:val="0"/>
    <w:rPr>
      <w:rFonts w:cs="Times New Roman"/>
      <w:b/>
      <w:bCs/>
      <w:kern w:val="44"/>
      <w:sz w:val="28"/>
      <w:szCs w:val="44"/>
    </w:rPr>
  </w:style>
  <w:style w:type="character" w:customStyle="1" w:styleId="23">
    <w:name w:val="标题 2 Char"/>
    <w:basedOn w:val="11"/>
    <w:link w:val="3"/>
    <w:qFormat/>
    <w:uiPriority w:val="0"/>
    <w:rPr>
      <w:rFonts w:cstheme="majorBidi"/>
      <w:b/>
      <w:bCs/>
      <w:kern w:val="2"/>
      <w:szCs w:val="32"/>
    </w:rPr>
  </w:style>
  <w:style w:type="character" w:customStyle="1" w:styleId="24">
    <w:name w:val="标题 3 Char"/>
    <w:basedOn w:val="11"/>
    <w:link w:val="4"/>
    <w:qFormat/>
    <w:uiPriority w:val="0"/>
    <w:rPr>
      <w:rFonts w:ascii="Times New Roman" w:hAnsi="Times New Roman" w:cs="Times New Roman"/>
      <w:b/>
      <w:bCs/>
      <w:kern w:val="2"/>
      <w:szCs w:val="32"/>
    </w:rPr>
  </w:style>
  <w:style w:type="paragraph" w:customStyle="1" w:styleId="25">
    <w:name w:val="参考文献"/>
    <w:basedOn w:val="26"/>
    <w:link w:val="27"/>
    <w:qFormat/>
    <w:uiPriority w:val="0"/>
    <w:pPr>
      <w:numPr>
        <w:ilvl w:val="0"/>
        <w:numId w:val="1"/>
      </w:numPr>
      <w:autoSpaceDE w:val="0"/>
      <w:autoSpaceDN w:val="0"/>
      <w:adjustRightInd w:val="0"/>
      <w:spacing w:line="240" w:lineRule="auto"/>
      <w:ind w:firstLine="0"/>
      <w:jc w:val="left"/>
    </w:pPr>
    <w:rPr>
      <w:rFonts w:cs="SourceHanSerifCN-Light"/>
    </w:rPr>
  </w:style>
  <w:style w:type="paragraph" w:styleId="26">
    <w:name w:val="List Paragraph"/>
    <w:basedOn w:val="1"/>
    <w:qFormat/>
    <w:uiPriority w:val="34"/>
    <w:pPr>
      <w:ind w:firstLine="420"/>
    </w:pPr>
  </w:style>
  <w:style w:type="character" w:customStyle="1" w:styleId="27">
    <w:name w:val="参考文献 字符"/>
    <w:basedOn w:val="11"/>
    <w:link w:val="25"/>
    <w:qFormat/>
    <w:uiPriority w:val="0"/>
    <w:rPr>
      <w:rFonts w:cs="SourceHanSerifCN-Light"/>
      <w:szCs w:val="21"/>
    </w:rPr>
  </w:style>
  <w:style w:type="character" w:customStyle="1" w:styleId="28">
    <w:name w:val="页眉 Char"/>
    <w:basedOn w:val="11"/>
    <w:link w:val="7"/>
    <w:qFormat/>
    <w:uiPriority w:val="99"/>
    <w:rPr>
      <w:rFonts w:cs="Times New Roman"/>
      <w:sz w:val="18"/>
      <w:szCs w:val="18"/>
    </w:rPr>
  </w:style>
  <w:style w:type="character" w:customStyle="1" w:styleId="29">
    <w:name w:val="页脚 Char"/>
    <w:basedOn w:val="11"/>
    <w:link w:val="6"/>
    <w:qFormat/>
    <w:uiPriority w:val="99"/>
    <w:rPr>
      <w:rFonts w:cs="Times New Roman"/>
      <w:sz w:val="18"/>
      <w:szCs w:val="18"/>
    </w:rPr>
  </w:style>
  <w:style w:type="character" w:customStyle="1" w:styleId="30">
    <w:name w:val="正文文本 Char"/>
    <w:basedOn w:val="11"/>
    <w:link w:val="5"/>
    <w:qFormat/>
    <w:uiPriority w:val="1"/>
    <w:rPr>
      <w:rFonts w:cs="宋体"/>
      <w:sz w:val="28"/>
      <w:szCs w:val="28"/>
    </w:rPr>
  </w:style>
  <w:style w:type="character" w:customStyle="1" w:styleId="31">
    <w:name w:val="exap"/>
    <w:basedOn w:val="11"/>
    <w:uiPriority w:val="0"/>
    <w:rPr>
      <w:sz w:val="24"/>
      <w:szCs w:val="24"/>
    </w:rPr>
  </w:style>
  <w:style w:type="character" w:customStyle="1" w:styleId="32">
    <w:name w:val="a_p_1"/>
    <w:basedOn w:val="11"/>
    <w:qFormat/>
    <w:uiPriority w:val="0"/>
    <w:rPr>
      <w:sz w:val="24"/>
      <w:szCs w:val="24"/>
    </w:rPr>
  </w:style>
  <w:style w:type="character" w:customStyle="1" w:styleId="33">
    <w:name w:val="jl-icon03"/>
    <w:basedOn w:val="11"/>
    <w:uiPriority w:val="0"/>
  </w:style>
  <w:style w:type="character" w:customStyle="1" w:styleId="34">
    <w:name w:val="jl-icon031"/>
    <w:basedOn w:val="11"/>
    <w:uiPriority w:val="0"/>
  </w:style>
  <w:style w:type="character" w:customStyle="1" w:styleId="35">
    <w:name w:val="ld05"/>
    <w:basedOn w:val="11"/>
    <w:uiPriority w:val="0"/>
  </w:style>
  <w:style w:type="character" w:customStyle="1" w:styleId="36">
    <w:name w:val="jl-icon01"/>
    <w:basedOn w:val="11"/>
    <w:qFormat/>
    <w:uiPriority w:val="0"/>
  </w:style>
  <w:style w:type="character" w:customStyle="1" w:styleId="37">
    <w:name w:val="jl-icon011"/>
    <w:basedOn w:val="11"/>
    <w:qFormat/>
    <w:uiPriority w:val="0"/>
  </w:style>
  <w:style w:type="character" w:customStyle="1" w:styleId="38">
    <w:name w:val="ld03"/>
    <w:basedOn w:val="11"/>
    <w:qFormat/>
    <w:uiPriority w:val="0"/>
  </w:style>
  <w:style w:type="character" w:customStyle="1" w:styleId="39">
    <w:name w:val="ul_li_a_1"/>
    <w:basedOn w:val="11"/>
    <w:uiPriority w:val="0"/>
    <w:rPr>
      <w:color w:val="FFFFFF"/>
    </w:rPr>
  </w:style>
  <w:style w:type="character" w:customStyle="1" w:styleId="40">
    <w:name w:val="footer03"/>
    <w:basedOn w:val="11"/>
    <w:qFormat/>
    <w:uiPriority w:val="0"/>
  </w:style>
  <w:style w:type="character" w:customStyle="1" w:styleId="41">
    <w:name w:val="footer031"/>
    <w:basedOn w:val="11"/>
    <w:qFormat/>
    <w:uiPriority w:val="0"/>
    <w:rPr>
      <w:shd w:val="clear" w:fill="FFFFFF"/>
    </w:rPr>
  </w:style>
  <w:style w:type="character" w:customStyle="1" w:styleId="42">
    <w:name w:val="a_p_3"/>
    <w:basedOn w:val="11"/>
    <w:qFormat/>
    <w:uiPriority w:val="0"/>
    <w:rPr>
      <w:sz w:val="24"/>
      <w:szCs w:val="24"/>
    </w:rPr>
  </w:style>
  <w:style w:type="character" w:customStyle="1" w:styleId="43">
    <w:name w:val="a_p_2"/>
    <w:basedOn w:val="11"/>
    <w:uiPriority w:val="0"/>
    <w:rPr>
      <w:sz w:val="24"/>
      <w:szCs w:val="24"/>
    </w:rPr>
  </w:style>
  <w:style w:type="character" w:customStyle="1" w:styleId="44">
    <w:name w:val="a_p_21"/>
    <w:basedOn w:val="11"/>
    <w:qFormat/>
    <w:uiPriority w:val="0"/>
  </w:style>
  <w:style w:type="character" w:customStyle="1" w:styleId="45">
    <w:name w:val="jl-icon02"/>
    <w:basedOn w:val="11"/>
    <w:qFormat/>
    <w:uiPriority w:val="0"/>
  </w:style>
  <w:style w:type="character" w:customStyle="1" w:styleId="46">
    <w:name w:val="jl-icon021"/>
    <w:basedOn w:val="11"/>
    <w:qFormat/>
    <w:uiPriority w:val="0"/>
  </w:style>
  <w:style w:type="character" w:customStyle="1" w:styleId="47">
    <w:name w:val="ld02"/>
    <w:basedOn w:val="11"/>
    <w:qFormat/>
    <w:uiPriority w:val="0"/>
  </w:style>
  <w:style w:type="character" w:customStyle="1" w:styleId="48">
    <w:name w:val="footer01"/>
    <w:basedOn w:val="11"/>
    <w:uiPriority w:val="0"/>
  </w:style>
  <w:style w:type="character" w:customStyle="1" w:styleId="49">
    <w:name w:val="footer011"/>
    <w:basedOn w:val="11"/>
    <w:qFormat/>
    <w:uiPriority w:val="0"/>
    <w:rPr>
      <w:shd w:val="clear" w:fill="FFFFFF"/>
    </w:rPr>
  </w:style>
  <w:style w:type="character" w:customStyle="1" w:styleId="50">
    <w:name w:val="footer02"/>
    <w:basedOn w:val="11"/>
    <w:qFormat/>
    <w:uiPriority w:val="0"/>
  </w:style>
  <w:style w:type="character" w:customStyle="1" w:styleId="51">
    <w:name w:val="footer021"/>
    <w:basedOn w:val="11"/>
    <w:qFormat/>
    <w:uiPriority w:val="0"/>
    <w:rPr>
      <w:shd w:val="clear" w:fill="FFFFFF"/>
    </w:rPr>
  </w:style>
  <w:style w:type="character" w:customStyle="1" w:styleId="52">
    <w:name w:val="footer04"/>
    <w:basedOn w:val="11"/>
    <w:qFormat/>
    <w:uiPriority w:val="0"/>
  </w:style>
  <w:style w:type="character" w:customStyle="1" w:styleId="53">
    <w:name w:val="footer041"/>
    <w:basedOn w:val="11"/>
    <w:qFormat/>
    <w:uiPriority w:val="0"/>
    <w:rPr>
      <w:shd w:val="clear" w:fill="FFFFFF"/>
    </w:rPr>
  </w:style>
  <w:style w:type="character" w:customStyle="1" w:styleId="54">
    <w:name w:val="footer05"/>
    <w:basedOn w:val="11"/>
    <w:qFormat/>
    <w:uiPriority w:val="0"/>
  </w:style>
  <w:style w:type="character" w:customStyle="1" w:styleId="55">
    <w:name w:val="footer051"/>
    <w:basedOn w:val="11"/>
    <w:qFormat/>
    <w:uiPriority w:val="0"/>
    <w:rPr>
      <w:shd w:val="clear" w:fill="FFFFFF"/>
    </w:rPr>
  </w:style>
  <w:style w:type="character" w:customStyle="1" w:styleId="56">
    <w:name w:val="ld04"/>
    <w:basedOn w:val="11"/>
    <w:qFormat/>
    <w:uiPriority w:val="0"/>
  </w:style>
  <w:style w:type="character" w:customStyle="1" w:styleId="57">
    <w:name w:val="ld01"/>
    <w:basedOn w:val="11"/>
    <w:qFormat/>
    <w:uiPriority w:val="0"/>
  </w:style>
  <w:style w:type="character" w:customStyle="1" w:styleId="58">
    <w:name w:val="on"/>
    <w:basedOn w:val="11"/>
    <w:uiPriority w:val="0"/>
    <w:rPr>
      <w:shd w:val="clear" w:fill="E3E4E4"/>
    </w:rPr>
  </w:style>
  <w:style w:type="character" w:customStyle="1" w:styleId="59">
    <w:name w:val="tt1"/>
    <w:basedOn w:val="11"/>
    <w:uiPriority w:val="0"/>
    <w:rPr>
      <w:color w:val="FFFFFF"/>
      <w:sz w:val="21"/>
      <w:szCs w:val="21"/>
    </w:rPr>
  </w:style>
  <w:style w:type="character" w:customStyle="1" w:styleId="60">
    <w:name w:val="tt2"/>
    <w:basedOn w:val="11"/>
    <w:qFormat/>
    <w:uiPriority w:val="0"/>
    <w:rPr>
      <w:color w:val="FFFFFF"/>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rgbClr val="FF0000"/>
          </a:solidFill>
        </a:ln>
      </a:spPr>
      <a:bodyPr rot="0" spcFirstLastPara="0" vertOverflow="overflow" horzOverflow="overflow" vert="horz" wrap="square" lIns="91440" tIns="45720" rIns="91440" bIns="45720" numCol="1" spcCol="0" rtlCol="0" fromWordArt="0" anchor="ctr" anchorCtr="0" forceAA="0" compatLnSpc="1">
        <a:noAutofit/>
      </a:bodyPr>
      <a:lstStyle/>
      <a:style>
        <a:lnRef idx="2">
          <a:schemeClr val="accent1">
            <a:shade val="15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Normal.dotm</Template>
  <Pages>11</Pages>
  <Words>6698</Words>
  <Characters>7673</Characters>
  <Lines>66</Lines>
  <Paragraphs>18</Paragraphs>
  <TotalTime>11</TotalTime>
  <ScaleCrop>false</ScaleCrop>
  <LinksUpToDate>false</LinksUpToDate>
  <CharactersWithSpaces>7768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2024-07-30T08:01:00Z</dcterms:created>
  <dc:creator>金鑫 杨</dc:creator>
  <cp:lastModifiedBy>Administrator</cp:lastModifiedBy>
  <dcterms:modified xsi:type="dcterms:W3CDTF">2025-09-13T06:25:33Z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eyJoZGlkIjoiM2NiM2NkNzhlYmZhODVhOTFiMTVlYWZlZjg5MjM4OTkifQ==</vt:lpwstr>
  </property>
  <property fmtid="{D5CDD505-2E9C-101B-9397-08002B2CF9AE}" pid="3" name="KSOProductBuildVer">
    <vt:lpwstr>2052-12.1.0.22529</vt:lpwstr>
  </property>
  <property fmtid="{D5CDD505-2E9C-101B-9397-08002B2CF9AE}" pid="4" name="ICV">
    <vt:lpwstr>A156FCEAF17D4F3EA49804506786AACA_12</vt:lpwstr>
  </property>
</Properties>
</file>