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临汾市</w:t>
      </w:r>
      <w:r>
        <w:rPr>
          <w:rFonts w:hint="eastAsia" w:ascii="方正小标宋简体" w:hAnsi="方正小标宋简体" w:eastAsia="方正小标宋简体" w:cs="方正小标宋简体"/>
          <w:color w:val="auto"/>
          <w:sz w:val="32"/>
          <w:szCs w:val="32"/>
          <w:lang w:val="en-US" w:eastAsia="zh-CN"/>
        </w:rPr>
        <w:t>文具</w:t>
      </w:r>
      <w:r>
        <w:rPr>
          <w:rFonts w:ascii="方正小标宋简体" w:hAnsi="方正小标宋简体" w:eastAsia="方正小标宋简体" w:cs="方正小标宋简体"/>
          <w:color w:val="auto"/>
          <w:sz w:val="32"/>
          <w:szCs w:val="32"/>
        </w:rPr>
        <w:t>产品质量监督抽查实施细则</w:t>
      </w:r>
    </w:p>
    <w:p>
      <w:pPr>
        <w:pStyle w:val="16"/>
        <w:tabs>
          <w:tab w:val="left" w:pos="438"/>
        </w:tabs>
        <w:autoSpaceDE w:val="0"/>
        <w:autoSpaceDN w:val="0"/>
        <w:spacing w:before="156" w:beforeLines="50" w:after="156" w:afterLines="50" w:line="440" w:lineRule="exact"/>
        <w:ind w:firstLine="0" w:firstLineChars="0"/>
        <w:jc w:val="left"/>
        <w:rPr>
          <w:rFonts w:ascii="黑体" w:hAnsi="黑体" w:eastAsia="黑体" w:cs="黑体"/>
          <w:color w:val="auto"/>
          <w:szCs w:val="24"/>
          <w:lang w:val="zh-CN" w:bidi="zh-CN"/>
        </w:rPr>
      </w:pPr>
      <w:r>
        <w:rPr>
          <w:rFonts w:ascii="黑体" w:hAnsi="黑体" w:eastAsia="黑体" w:cs="黑体"/>
          <w:color w:val="auto"/>
          <w:szCs w:val="24"/>
          <w:lang w:val="zh-CN" w:bidi="zh-CN"/>
        </w:rPr>
        <w:t>1 抽样方法</w:t>
      </w:r>
    </w:p>
    <w:p>
      <w:pPr>
        <w:snapToGrid w:val="0"/>
        <w:spacing w:line="440" w:lineRule="exact"/>
        <w:ind w:firstLine="420" w:firstLineChars="200"/>
        <w:rPr>
          <w:color w:val="auto"/>
          <w:szCs w:val="21"/>
        </w:rPr>
      </w:pPr>
      <w:r>
        <w:rPr>
          <w:color w:val="auto"/>
          <w:szCs w:val="21"/>
        </w:rPr>
        <w:t>以随机抽样的方式在被抽样生产者、销售者的待销产品中抽取。</w:t>
      </w:r>
    </w:p>
    <w:p>
      <w:pPr>
        <w:snapToGrid w:val="0"/>
        <w:spacing w:line="440" w:lineRule="exact"/>
        <w:ind w:firstLine="420" w:firstLineChars="200"/>
        <w:rPr>
          <w:color w:val="auto"/>
          <w:szCs w:val="21"/>
        </w:rPr>
      </w:pPr>
      <w:r>
        <w:rPr>
          <w:color w:val="auto"/>
          <w:szCs w:val="21"/>
        </w:rPr>
        <w:t>随机数一般可使用随机数表等方法产生。</w:t>
      </w:r>
    </w:p>
    <w:p>
      <w:pPr>
        <w:snapToGrid w:val="0"/>
        <w:spacing w:line="440" w:lineRule="exact"/>
        <w:ind w:firstLine="420" w:firstLineChars="200"/>
        <w:rPr>
          <w:rFonts w:hint="eastAsia" w:cs="Times New Roman"/>
          <w:color w:val="000000"/>
          <w:szCs w:val="21"/>
          <w:lang w:val="en-US" w:eastAsia="zh-CN"/>
        </w:rPr>
      </w:pPr>
      <w:r>
        <w:rPr>
          <w:rFonts w:hint="eastAsia" w:ascii="Times New Roman" w:hAnsi="Times New Roman" w:eastAsia="宋体" w:cs="Times New Roman"/>
          <w:color w:val="000000"/>
          <w:szCs w:val="21"/>
          <w:lang w:val="en-US" w:eastAsia="zh-CN"/>
        </w:rPr>
        <w:t>抽取样品数量</w:t>
      </w:r>
      <w:r>
        <w:rPr>
          <w:rFonts w:hint="eastAsia" w:cs="Times New Roman"/>
          <w:color w:val="000000"/>
          <w:szCs w:val="21"/>
          <w:lang w:val="en-US" w:eastAsia="zh-CN"/>
        </w:rPr>
        <w:t>如下：</w:t>
      </w:r>
    </w:p>
    <w:p>
      <w:pPr>
        <w:snapToGrid w:val="0"/>
        <w:spacing w:line="440" w:lineRule="exact"/>
        <w:ind w:firstLine="420" w:firstLineChars="200"/>
        <w:rPr>
          <w:szCs w:val="21"/>
        </w:rPr>
      </w:pPr>
      <w:r>
        <w:rPr>
          <w:szCs w:val="21"/>
        </w:rPr>
        <w:t>每批次抽样数量详见表1。</w:t>
      </w:r>
    </w:p>
    <w:p>
      <w:pPr>
        <w:adjustRightInd w:val="0"/>
        <w:snapToGrid w:val="0"/>
        <w:spacing w:line="440" w:lineRule="exact"/>
        <w:jc w:val="center"/>
        <w:rPr>
          <w:szCs w:val="21"/>
        </w:rPr>
      </w:pPr>
      <w:r>
        <w:rPr>
          <w:szCs w:val="21"/>
        </w:rPr>
        <w:t>表1 抽取样品数量</w:t>
      </w:r>
    </w:p>
    <w:tbl>
      <w:tblPr>
        <w:tblStyle w:val="9"/>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870"/>
        <w:gridCol w:w="1695"/>
        <w:gridCol w:w="1950"/>
        <w:gridCol w:w="202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24" w:type="dxa"/>
            <w:noWrap w:val="0"/>
            <w:vAlign w:val="center"/>
          </w:tcPr>
          <w:p>
            <w:pPr>
              <w:adjustRightInd w:val="0"/>
              <w:snapToGrid w:val="0"/>
              <w:jc w:val="center"/>
              <w:rPr>
                <w:szCs w:val="21"/>
              </w:rPr>
            </w:pPr>
            <w:r>
              <w:rPr>
                <w:szCs w:val="21"/>
              </w:rPr>
              <w:t>序号</w:t>
            </w:r>
          </w:p>
        </w:tc>
        <w:tc>
          <w:tcPr>
            <w:tcW w:w="2565" w:type="dxa"/>
            <w:gridSpan w:val="2"/>
            <w:noWrap w:val="0"/>
            <w:vAlign w:val="center"/>
          </w:tcPr>
          <w:p>
            <w:pPr>
              <w:adjustRightInd w:val="0"/>
              <w:snapToGrid w:val="0"/>
              <w:jc w:val="center"/>
              <w:rPr>
                <w:szCs w:val="21"/>
              </w:rPr>
            </w:pPr>
            <w:r>
              <w:rPr>
                <w:szCs w:val="21"/>
              </w:rPr>
              <w:t>产品种类</w:t>
            </w:r>
          </w:p>
        </w:tc>
        <w:tc>
          <w:tcPr>
            <w:tcW w:w="1950" w:type="dxa"/>
            <w:noWrap w:val="0"/>
            <w:vAlign w:val="center"/>
          </w:tcPr>
          <w:p>
            <w:pPr>
              <w:adjustRightInd w:val="0"/>
              <w:snapToGrid w:val="0"/>
              <w:jc w:val="center"/>
              <w:rPr>
                <w:szCs w:val="21"/>
              </w:rPr>
            </w:pPr>
            <w:r>
              <w:rPr>
                <w:szCs w:val="21"/>
              </w:rPr>
              <w:t>抽样数量</w:t>
            </w:r>
          </w:p>
        </w:tc>
        <w:tc>
          <w:tcPr>
            <w:tcW w:w="2025" w:type="dxa"/>
            <w:noWrap w:val="0"/>
            <w:vAlign w:val="center"/>
          </w:tcPr>
          <w:p>
            <w:pPr>
              <w:adjustRightInd w:val="0"/>
              <w:snapToGrid w:val="0"/>
              <w:jc w:val="center"/>
              <w:rPr>
                <w:szCs w:val="21"/>
              </w:rPr>
            </w:pPr>
            <w:r>
              <w:rPr>
                <w:szCs w:val="21"/>
              </w:rPr>
              <w:t>检验样品数量</w:t>
            </w:r>
          </w:p>
        </w:tc>
        <w:tc>
          <w:tcPr>
            <w:tcW w:w="1950" w:type="dxa"/>
            <w:noWrap w:val="0"/>
            <w:vAlign w:val="center"/>
          </w:tcPr>
          <w:p>
            <w:pPr>
              <w:adjustRightInd w:val="0"/>
              <w:snapToGrid w:val="0"/>
              <w:jc w:val="center"/>
              <w:rPr>
                <w:szCs w:val="21"/>
              </w:rPr>
            </w:pPr>
            <w:r>
              <w:rPr>
                <w:szCs w:val="21"/>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 w:type="dxa"/>
            <w:vMerge w:val="restart"/>
            <w:noWrap w:val="0"/>
            <w:vAlign w:val="center"/>
          </w:tcPr>
          <w:p>
            <w:pPr>
              <w:adjustRightInd w:val="0"/>
              <w:snapToGrid w:val="0"/>
              <w:jc w:val="center"/>
              <w:rPr>
                <w:rFonts w:hint="eastAsia" w:eastAsia="宋体"/>
                <w:szCs w:val="21"/>
                <w:lang w:eastAsia="zh-CN"/>
              </w:rPr>
            </w:pPr>
            <w:r>
              <w:rPr>
                <w:rFonts w:hint="eastAsia"/>
                <w:szCs w:val="21"/>
                <w:lang w:val="en-US" w:eastAsia="zh-CN"/>
              </w:rPr>
              <w:t>1</w:t>
            </w:r>
          </w:p>
        </w:tc>
        <w:tc>
          <w:tcPr>
            <w:tcW w:w="870" w:type="dxa"/>
            <w:vMerge w:val="restart"/>
            <w:noWrap w:val="0"/>
            <w:vAlign w:val="center"/>
          </w:tcPr>
          <w:p>
            <w:pPr>
              <w:adjustRightInd w:val="0"/>
              <w:snapToGrid w:val="0"/>
              <w:jc w:val="center"/>
              <w:rPr>
                <w:szCs w:val="21"/>
              </w:rPr>
            </w:pPr>
            <w:r>
              <w:rPr>
                <w:szCs w:val="21"/>
              </w:rPr>
              <w:t>书写笔</w:t>
            </w:r>
          </w:p>
        </w:tc>
        <w:tc>
          <w:tcPr>
            <w:tcW w:w="1695" w:type="dxa"/>
            <w:noWrap w:val="0"/>
            <w:vAlign w:val="center"/>
          </w:tcPr>
          <w:p>
            <w:pPr>
              <w:adjustRightInd w:val="0"/>
              <w:snapToGrid w:val="0"/>
              <w:jc w:val="center"/>
              <w:rPr>
                <w:szCs w:val="21"/>
              </w:rPr>
            </w:pPr>
            <w:r>
              <w:rPr>
                <w:szCs w:val="21"/>
              </w:rPr>
              <w:t>油墨圆珠笔</w:t>
            </w:r>
          </w:p>
        </w:tc>
        <w:tc>
          <w:tcPr>
            <w:tcW w:w="1950" w:type="dxa"/>
            <w:noWrap w:val="0"/>
            <w:vAlign w:val="center"/>
          </w:tcPr>
          <w:p>
            <w:pPr>
              <w:adjustRightInd w:val="0"/>
              <w:snapToGrid w:val="0"/>
              <w:jc w:val="center"/>
              <w:rPr>
                <w:szCs w:val="21"/>
              </w:rPr>
            </w:pPr>
            <w:r>
              <w:rPr>
                <w:szCs w:val="21"/>
              </w:rPr>
              <w:t>20支</w:t>
            </w:r>
          </w:p>
        </w:tc>
        <w:tc>
          <w:tcPr>
            <w:tcW w:w="2025" w:type="dxa"/>
            <w:noWrap w:val="0"/>
            <w:vAlign w:val="center"/>
          </w:tcPr>
          <w:p>
            <w:pPr>
              <w:adjustRightInd w:val="0"/>
              <w:snapToGrid w:val="0"/>
              <w:jc w:val="center"/>
              <w:rPr>
                <w:szCs w:val="21"/>
              </w:rPr>
            </w:pPr>
            <w:r>
              <w:rPr>
                <w:szCs w:val="21"/>
              </w:rPr>
              <w:t>10支</w:t>
            </w:r>
          </w:p>
        </w:tc>
        <w:tc>
          <w:tcPr>
            <w:tcW w:w="1950" w:type="dxa"/>
            <w:noWrap w:val="0"/>
            <w:vAlign w:val="center"/>
          </w:tcPr>
          <w:p>
            <w:pPr>
              <w:adjustRightInd w:val="0"/>
              <w:snapToGrid w:val="0"/>
              <w:jc w:val="center"/>
              <w:rPr>
                <w:szCs w:val="21"/>
              </w:rPr>
            </w:pPr>
            <w:r>
              <w:rPr>
                <w:szCs w:val="21"/>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 w:type="dxa"/>
            <w:vMerge w:val="continue"/>
            <w:noWrap w:val="0"/>
            <w:vAlign w:val="center"/>
          </w:tcPr>
          <w:p>
            <w:pPr>
              <w:adjustRightInd w:val="0"/>
              <w:snapToGrid w:val="0"/>
              <w:jc w:val="center"/>
              <w:rPr>
                <w:szCs w:val="21"/>
              </w:rPr>
            </w:pPr>
          </w:p>
        </w:tc>
        <w:tc>
          <w:tcPr>
            <w:tcW w:w="870" w:type="dxa"/>
            <w:vMerge w:val="continue"/>
            <w:noWrap w:val="0"/>
            <w:vAlign w:val="center"/>
          </w:tcPr>
          <w:p>
            <w:pPr>
              <w:adjustRightInd w:val="0"/>
              <w:snapToGrid w:val="0"/>
              <w:jc w:val="center"/>
              <w:rPr>
                <w:szCs w:val="21"/>
              </w:rPr>
            </w:pPr>
          </w:p>
        </w:tc>
        <w:tc>
          <w:tcPr>
            <w:tcW w:w="1695" w:type="dxa"/>
            <w:noWrap w:val="0"/>
            <w:vAlign w:val="center"/>
          </w:tcPr>
          <w:p>
            <w:pPr>
              <w:adjustRightInd w:val="0"/>
              <w:snapToGrid w:val="0"/>
              <w:jc w:val="center"/>
              <w:rPr>
                <w:szCs w:val="21"/>
              </w:rPr>
            </w:pPr>
            <w:r>
              <w:rPr>
                <w:szCs w:val="21"/>
              </w:rPr>
              <w:t>水性</w:t>
            </w:r>
            <w:r>
              <w:rPr>
                <w:rFonts w:hint="eastAsia"/>
                <w:szCs w:val="21"/>
              </w:rPr>
              <w:t>墨水</w:t>
            </w:r>
            <w:r>
              <w:rPr>
                <w:szCs w:val="21"/>
              </w:rPr>
              <w:t>圆珠笔</w:t>
            </w:r>
          </w:p>
        </w:tc>
        <w:tc>
          <w:tcPr>
            <w:tcW w:w="1950" w:type="dxa"/>
            <w:noWrap w:val="0"/>
            <w:vAlign w:val="center"/>
          </w:tcPr>
          <w:p>
            <w:pPr>
              <w:adjustRightInd w:val="0"/>
              <w:snapToGrid w:val="0"/>
              <w:jc w:val="center"/>
              <w:rPr>
                <w:szCs w:val="21"/>
              </w:rPr>
            </w:pPr>
            <w:r>
              <w:rPr>
                <w:szCs w:val="21"/>
              </w:rPr>
              <w:t>20支</w:t>
            </w:r>
          </w:p>
        </w:tc>
        <w:tc>
          <w:tcPr>
            <w:tcW w:w="2025" w:type="dxa"/>
            <w:noWrap w:val="0"/>
            <w:vAlign w:val="center"/>
          </w:tcPr>
          <w:p>
            <w:pPr>
              <w:adjustRightInd w:val="0"/>
              <w:snapToGrid w:val="0"/>
              <w:jc w:val="center"/>
              <w:rPr>
                <w:szCs w:val="21"/>
              </w:rPr>
            </w:pPr>
            <w:r>
              <w:rPr>
                <w:szCs w:val="21"/>
              </w:rPr>
              <w:t>10支</w:t>
            </w:r>
          </w:p>
        </w:tc>
        <w:tc>
          <w:tcPr>
            <w:tcW w:w="1950" w:type="dxa"/>
            <w:noWrap w:val="0"/>
            <w:vAlign w:val="center"/>
          </w:tcPr>
          <w:p>
            <w:pPr>
              <w:adjustRightInd w:val="0"/>
              <w:snapToGrid w:val="0"/>
              <w:jc w:val="center"/>
              <w:rPr>
                <w:szCs w:val="21"/>
              </w:rPr>
            </w:pPr>
            <w:r>
              <w:rPr>
                <w:szCs w:val="21"/>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 w:type="dxa"/>
            <w:vMerge w:val="continue"/>
            <w:noWrap w:val="0"/>
            <w:vAlign w:val="center"/>
          </w:tcPr>
          <w:p>
            <w:pPr>
              <w:adjustRightInd w:val="0"/>
              <w:snapToGrid w:val="0"/>
              <w:jc w:val="center"/>
              <w:rPr>
                <w:szCs w:val="21"/>
              </w:rPr>
            </w:pPr>
          </w:p>
        </w:tc>
        <w:tc>
          <w:tcPr>
            <w:tcW w:w="870" w:type="dxa"/>
            <w:vMerge w:val="continue"/>
            <w:noWrap w:val="0"/>
            <w:vAlign w:val="center"/>
          </w:tcPr>
          <w:p>
            <w:pPr>
              <w:adjustRightInd w:val="0"/>
              <w:snapToGrid w:val="0"/>
              <w:jc w:val="center"/>
              <w:rPr>
                <w:szCs w:val="21"/>
              </w:rPr>
            </w:pPr>
          </w:p>
        </w:tc>
        <w:tc>
          <w:tcPr>
            <w:tcW w:w="1695" w:type="dxa"/>
            <w:noWrap w:val="0"/>
            <w:vAlign w:val="center"/>
          </w:tcPr>
          <w:p>
            <w:pPr>
              <w:adjustRightInd w:val="0"/>
              <w:snapToGrid w:val="0"/>
              <w:jc w:val="center"/>
              <w:rPr>
                <w:szCs w:val="21"/>
              </w:rPr>
            </w:pPr>
            <w:r>
              <w:rPr>
                <w:szCs w:val="21"/>
              </w:rPr>
              <w:t>中性墨水圆珠笔</w:t>
            </w:r>
          </w:p>
        </w:tc>
        <w:tc>
          <w:tcPr>
            <w:tcW w:w="1950" w:type="dxa"/>
            <w:noWrap w:val="0"/>
            <w:vAlign w:val="center"/>
          </w:tcPr>
          <w:p>
            <w:pPr>
              <w:adjustRightInd w:val="0"/>
              <w:snapToGrid w:val="0"/>
              <w:jc w:val="center"/>
              <w:rPr>
                <w:szCs w:val="21"/>
              </w:rPr>
            </w:pPr>
            <w:r>
              <w:rPr>
                <w:szCs w:val="21"/>
              </w:rPr>
              <w:t>20支</w:t>
            </w:r>
          </w:p>
        </w:tc>
        <w:tc>
          <w:tcPr>
            <w:tcW w:w="2025" w:type="dxa"/>
            <w:noWrap w:val="0"/>
            <w:vAlign w:val="center"/>
          </w:tcPr>
          <w:p>
            <w:pPr>
              <w:adjustRightInd w:val="0"/>
              <w:snapToGrid w:val="0"/>
              <w:jc w:val="center"/>
              <w:rPr>
                <w:szCs w:val="21"/>
              </w:rPr>
            </w:pPr>
            <w:r>
              <w:rPr>
                <w:szCs w:val="21"/>
              </w:rPr>
              <w:t>10支</w:t>
            </w:r>
          </w:p>
        </w:tc>
        <w:tc>
          <w:tcPr>
            <w:tcW w:w="1950" w:type="dxa"/>
            <w:noWrap w:val="0"/>
            <w:vAlign w:val="center"/>
          </w:tcPr>
          <w:p>
            <w:pPr>
              <w:adjustRightInd w:val="0"/>
              <w:snapToGrid w:val="0"/>
              <w:jc w:val="center"/>
              <w:rPr>
                <w:szCs w:val="21"/>
              </w:rPr>
            </w:pPr>
            <w:r>
              <w:rPr>
                <w:szCs w:val="21"/>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 w:type="dxa"/>
            <w:vMerge w:val="continue"/>
            <w:noWrap w:val="0"/>
            <w:vAlign w:val="center"/>
          </w:tcPr>
          <w:p>
            <w:pPr>
              <w:adjustRightInd w:val="0"/>
              <w:snapToGrid w:val="0"/>
              <w:jc w:val="center"/>
              <w:rPr>
                <w:szCs w:val="21"/>
              </w:rPr>
            </w:pPr>
          </w:p>
        </w:tc>
        <w:tc>
          <w:tcPr>
            <w:tcW w:w="870" w:type="dxa"/>
            <w:vMerge w:val="continue"/>
            <w:noWrap w:val="0"/>
            <w:vAlign w:val="center"/>
          </w:tcPr>
          <w:p>
            <w:pPr>
              <w:adjustRightInd w:val="0"/>
              <w:snapToGrid w:val="0"/>
              <w:jc w:val="center"/>
              <w:rPr>
                <w:szCs w:val="21"/>
              </w:rPr>
            </w:pPr>
          </w:p>
        </w:tc>
        <w:tc>
          <w:tcPr>
            <w:tcW w:w="1695" w:type="dxa"/>
            <w:noWrap w:val="0"/>
            <w:vAlign w:val="center"/>
          </w:tcPr>
          <w:p>
            <w:pPr>
              <w:adjustRightInd w:val="0"/>
              <w:snapToGrid w:val="0"/>
              <w:jc w:val="center"/>
              <w:rPr>
                <w:szCs w:val="21"/>
              </w:rPr>
            </w:pPr>
            <w:r>
              <w:rPr>
                <w:szCs w:val="21"/>
              </w:rPr>
              <w:t>考试用圆珠笔</w:t>
            </w:r>
          </w:p>
        </w:tc>
        <w:tc>
          <w:tcPr>
            <w:tcW w:w="1950" w:type="dxa"/>
            <w:noWrap w:val="0"/>
            <w:vAlign w:val="center"/>
          </w:tcPr>
          <w:p>
            <w:pPr>
              <w:adjustRightInd w:val="0"/>
              <w:snapToGrid w:val="0"/>
              <w:jc w:val="center"/>
              <w:rPr>
                <w:szCs w:val="21"/>
              </w:rPr>
            </w:pPr>
            <w:r>
              <w:rPr>
                <w:szCs w:val="21"/>
              </w:rPr>
              <w:t>20支</w:t>
            </w:r>
          </w:p>
        </w:tc>
        <w:tc>
          <w:tcPr>
            <w:tcW w:w="2025" w:type="dxa"/>
            <w:noWrap w:val="0"/>
            <w:vAlign w:val="center"/>
          </w:tcPr>
          <w:p>
            <w:pPr>
              <w:adjustRightInd w:val="0"/>
              <w:snapToGrid w:val="0"/>
              <w:jc w:val="center"/>
              <w:rPr>
                <w:szCs w:val="21"/>
              </w:rPr>
            </w:pPr>
            <w:r>
              <w:rPr>
                <w:szCs w:val="21"/>
              </w:rPr>
              <w:t>10支</w:t>
            </w:r>
          </w:p>
        </w:tc>
        <w:tc>
          <w:tcPr>
            <w:tcW w:w="1950" w:type="dxa"/>
            <w:noWrap w:val="0"/>
            <w:vAlign w:val="center"/>
          </w:tcPr>
          <w:p>
            <w:pPr>
              <w:adjustRightInd w:val="0"/>
              <w:snapToGrid w:val="0"/>
              <w:jc w:val="center"/>
              <w:rPr>
                <w:szCs w:val="21"/>
              </w:rPr>
            </w:pPr>
            <w:r>
              <w:rPr>
                <w:szCs w:val="21"/>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 w:type="dxa"/>
            <w:vMerge w:val="continue"/>
            <w:noWrap w:val="0"/>
            <w:vAlign w:val="center"/>
          </w:tcPr>
          <w:p>
            <w:pPr>
              <w:adjustRightInd w:val="0"/>
              <w:snapToGrid w:val="0"/>
              <w:jc w:val="center"/>
              <w:rPr>
                <w:szCs w:val="21"/>
              </w:rPr>
            </w:pPr>
          </w:p>
        </w:tc>
        <w:tc>
          <w:tcPr>
            <w:tcW w:w="870" w:type="dxa"/>
            <w:vMerge w:val="continue"/>
            <w:noWrap w:val="0"/>
            <w:vAlign w:val="center"/>
          </w:tcPr>
          <w:p>
            <w:pPr>
              <w:adjustRightInd w:val="0"/>
              <w:snapToGrid w:val="0"/>
              <w:jc w:val="center"/>
              <w:rPr>
                <w:szCs w:val="21"/>
              </w:rPr>
            </w:pPr>
          </w:p>
        </w:tc>
        <w:tc>
          <w:tcPr>
            <w:tcW w:w="1695" w:type="dxa"/>
            <w:noWrap w:val="0"/>
            <w:vAlign w:val="center"/>
          </w:tcPr>
          <w:p>
            <w:pPr>
              <w:adjustRightInd w:val="0"/>
              <w:snapToGrid w:val="0"/>
              <w:jc w:val="center"/>
              <w:rPr>
                <w:rFonts w:hint="eastAsia"/>
                <w:szCs w:val="21"/>
              </w:rPr>
            </w:pPr>
            <w:r>
              <w:rPr>
                <w:rFonts w:hint="eastAsia"/>
                <w:szCs w:val="21"/>
              </w:rPr>
              <w:t>自来水笔</w:t>
            </w:r>
          </w:p>
        </w:tc>
        <w:tc>
          <w:tcPr>
            <w:tcW w:w="1950" w:type="dxa"/>
            <w:noWrap w:val="0"/>
            <w:vAlign w:val="center"/>
          </w:tcPr>
          <w:p>
            <w:pPr>
              <w:adjustRightInd w:val="0"/>
              <w:snapToGrid w:val="0"/>
              <w:jc w:val="center"/>
              <w:rPr>
                <w:szCs w:val="21"/>
              </w:rPr>
            </w:pPr>
            <w:r>
              <w:rPr>
                <w:szCs w:val="21"/>
              </w:rPr>
              <w:t>20支</w:t>
            </w:r>
          </w:p>
        </w:tc>
        <w:tc>
          <w:tcPr>
            <w:tcW w:w="2025" w:type="dxa"/>
            <w:noWrap w:val="0"/>
            <w:vAlign w:val="center"/>
          </w:tcPr>
          <w:p>
            <w:pPr>
              <w:adjustRightInd w:val="0"/>
              <w:snapToGrid w:val="0"/>
              <w:jc w:val="center"/>
              <w:rPr>
                <w:szCs w:val="21"/>
              </w:rPr>
            </w:pPr>
            <w:r>
              <w:rPr>
                <w:szCs w:val="21"/>
              </w:rPr>
              <w:t>10支</w:t>
            </w:r>
          </w:p>
        </w:tc>
        <w:tc>
          <w:tcPr>
            <w:tcW w:w="1950" w:type="dxa"/>
            <w:noWrap w:val="0"/>
            <w:vAlign w:val="center"/>
          </w:tcPr>
          <w:p>
            <w:pPr>
              <w:adjustRightInd w:val="0"/>
              <w:snapToGrid w:val="0"/>
              <w:jc w:val="center"/>
              <w:rPr>
                <w:szCs w:val="21"/>
              </w:rPr>
            </w:pPr>
            <w:r>
              <w:rPr>
                <w:szCs w:val="21"/>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 w:type="dxa"/>
            <w:vMerge w:val="continue"/>
            <w:noWrap w:val="0"/>
            <w:vAlign w:val="center"/>
          </w:tcPr>
          <w:p>
            <w:pPr>
              <w:adjustRightInd w:val="0"/>
              <w:snapToGrid w:val="0"/>
              <w:jc w:val="center"/>
              <w:rPr>
                <w:szCs w:val="21"/>
              </w:rPr>
            </w:pPr>
          </w:p>
        </w:tc>
        <w:tc>
          <w:tcPr>
            <w:tcW w:w="870" w:type="dxa"/>
            <w:vMerge w:val="continue"/>
            <w:noWrap w:val="0"/>
            <w:vAlign w:val="center"/>
          </w:tcPr>
          <w:p>
            <w:pPr>
              <w:adjustRightInd w:val="0"/>
              <w:snapToGrid w:val="0"/>
              <w:jc w:val="center"/>
              <w:rPr>
                <w:szCs w:val="21"/>
              </w:rPr>
            </w:pPr>
          </w:p>
        </w:tc>
        <w:tc>
          <w:tcPr>
            <w:tcW w:w="1695" w:type="dxa"/>
            <w:noWrap w:val="0"/>
            <w:vAlign w:val="center"/>
          </w:tcPr>
          <w:p>
            <w:pPr>
              <w:adjustRightInd w:val="0"/>
              <w:snapToGrid w:val="0"/>
              <w:jc w:val="center"/>
              <w:rPr>
                <w:szCs w:val="21"/>
              </w:rPr>
            </w:pPr>
            <w:r>
              <w:rPr>
                <w:szCs w:val="21"/>
              </w:rPr>
              <w:t>铅笔</w:t>
            </w:r>
          </w:p>
        </w:tc>
        <w:tc>
          <w:tcPr>
            <w:tcW w:w="1950" w:type="dxa"/>
            <w:noWrap w:val="0"/>
            <w:vAlign w:val="top"/>
          </w:tcPr>
          <w:p>
            <w:pPr>
              <w:adjustRightInd w:val="0"/>
              <w:snapToGrid w:val="0"/>
              <w:jc w:val="center"/>
              <w:rPr>
                <w:szCs w:val="21"/>
              </w:rPr>
            </w:pPr>
            <w:r>
              <w:rPr>
                <w:szCs w:val="21"/>
              </w:rPr>
              <w:t>20支</w:t>
            </w:r>
          </w:p>
        </w:tc>
        <w:tc>
          <w:tcPr>
            <w:tcW w:w="2025" w:type="dxa"/>
            <w:noWrap w:val="0"/>
            <w:vAlign w:val="center"/>
          </w:tcPr>
          <w:p>
            <w:pPr>
              <w:adjustRightInd w:val="0"/>
              <w:snapToGrid w:val="0"/>
              <w:jc w:val="center"/>
              <w:rPr>
                <w:szCs w:val="21"/>
              </w:rPr>
            </w:pPr>
            <w:r>
              <w:rPr>
                <w:szCs w:val="21"/>
              </w:rPr>
              <w:t>10支</w:t>
            </w:r>
          </w:p>
        </w:tc>
        <w:tc>
          <w:tcPr>
            <w:tcW w:w="1950" w:type="dxa"/>
            <w:noWrap w:val="0"/>
            <w:vAlign w:val="top"/>
          </w:tcPr>
          <w:p>
            <w:pPr>
              <w:adjustRightInd w:val="0"/>
              <w:snapToGrid w:val="0"/>
              <w:jc w:val="center"/>
              <w:rPr>
                <w:szCs w:val="21"/>
              </w:rPr>
            </w:pPr>
            <w:r>
              <w:rPr>
                <w:szCs w:val="21"/>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 w:type="dxa"/>
            <w:vMerge w:val="continue"/>
            <w:noWrap w:val="0"/>
            <w:vAlign w:val="center"/>
          </w:tcPr>
          <w:p>
            <w:pPr>
              <w:adjustRightInd w:val="0"/>
              <w:snapToGrid w:val="0"/>
              <w:jc w:val="center"/>
              <w:rPr>
                <w:szCs w:val="21"/>
              </w:rPr>
            </w:pPr>
          </w:p>
        </w:tc>
        <w:tc>
          <w:tcPr>
            <w:tcW w:w="870" w:type="dxa"/>
            <w:vMerge w:val="continue"/>
            <w:noWrap w:val="0"/>
            <w:vAlign w:val="center"/>
          </w:tcPr>
          <w:p>
            <w:pPr>
              <w:adjustRightInd w:val="0"/>
              <w:snapToGrid w:val="0"/>
              <w:jc w:val="center"/>
              <w:rPr>
                <w:szCs w:val="21"/>
              </w:rPr>
            </w:pPr>
          </w:p>
        </w:tc>
        <w:tc>
          <w:tcPr>
            <w:tcW w:w="1695" w:type="dxa"/>
            <w:noWrap w:val="0"/>
            <w:vAlign w:val="center"/>
          </w:tcPr>
          <w:p>
            <w:pPr>
              <w:adjustRightInd w:val="0"/>
              <w:snapToGrid w:val="0"/>
              <w:jc w:val="center"/>
              <w:rPr>
                <w:szCs w:val="21"/>
              </w:rPr>
            </w:pPr>
            <w:r>
              <w:rPr>
                <w:szCs w:val="21"/>
              </w:rPr>
              <w:t>活动铅笔</w:t>
            </w:r>
          </w:p>
        </w:tc>
        <w:tc>
          <w:tcPr>
            <w:tcW w:w="1950" w:type="dxa"/>
            <w:noWrap w:val="0"/>
            <w:vAlign w:val="top"/>
          </w:tcPr>
          <w:p>
            <w:pPr>
              <w:adjustRightInd w:val="0"/>
              <w:snapToGrid w:val="0"/>
              <w:jc w:val="center"/>
              <w:rPr>
                <w:szCs w:val="21"/>
              </w:rPr>
            </w:pPr>
            <w:r>
              <w:rPr>
                <w:szCs w:val="21"/>
              </w:rPr>
              <w:t>20支</w:t>
            </w:r>
          </w:p>
        </w:tc>
        <w:tc>
          <w:tcPr>
            <w:tcW w:w="2025" w:type="dxa"/>
            <w:noWrap w:val="0"/>
            <w:vAlign w:val="center"/>
          </w:tcPr>
          <w:p>
            <w:pPr>
              <w:adjustRightInd w:val="0"/>
              <w:snapToGrid w:val="0"/>
              <w:jc w:val="center"/>
              <w:rPr>
                <w:szCs w:val="21"/>
              </w:rPr>
            </w:pPr>
            <w:r>
              <w:rPr>
                <w:szCs w:val="21"/>
              </w:rPr>
              <w:t>10支</w:t>
            </w:r>
          </w:p>
        </w:tc>
        <w:tc>
          <w:tcPr>
            <w:tcW w:w="1950" w:type="dxa"/>
            <w:noWrap w:val="0"/>
            <w:vAlign w:val="top"/>
          </w:tcPr>
          <w:p>
            <w:pPr>
              <w:adjustRightInd w:val="0"/>
              <w:snapToGrid w:val="0"/>
              <w:jc w:val="center"/>
              <w:rPr>
                <w:szCs w:val="21"/>
              </w:rPr>
            </w:pPr>
            <w:r>
              <w:rPr>
                <w:szCs w:val="21"/>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 w:type="dxa"/>
            <w:vMerge w:val="continue"/>
            <w:noWrap w:val="0"/>
            <w:vAlign w:val="center"/>
          </w:tcPr>
          <w:p>
            <w:pPr>
              <w:adjustRightInd w:val="0"/>
              <w:snapToGrid w:val="0"/>
              <w:jc w:val="center"/>
              <w:rPr>
                <w:szCs w:val="21"/>
              </w:rPr>
            </w:pPr>
          </w:p>
        </w:tc>
        <w:tc>
          <w:tcPr>
            <w:tcW w:w="870" w:type="dxa"/>
            <w:vMerge w:val="continue"/>
            <w:noWrap w:val="0"/>
            <w:vAlign w:val="center"/>
          </w:tcPr>
          <w:p>
            <w:pPr>
              <w:adjustRightInd w:val="0"/>
              <w:snapToGrid w:val="0"/>
              <w:jc w:val="center"/>
              <w:rPr>
                <w:szCs w:val="21"/>
              </w:rPr>
            </w:pPr>
          </w:p>
        </w:tc>
        <w:tc>
          <w:tcPr>
            <w:tcW w:w="1695" w:type="dxa"/>
            <w:noWrap w:val="0"/>
            <w:vAlign w:val="center"/>
          </w:tcPr>
          <w:p>
            <w:pPr>
              <w:adjustRightInd w:val="0"/>
              <w:snapToGrid w:val="0"/>
              <w:jc w:val="center"/>
              <w:rPr>
                <w:szCs w:val="21"/>
              </w:rPr>
            </w:pPr>
            <w:bookmarkStart w:id="0" w:name="_Hlk101878011"/>
            <w:r>
              <w:rPr>
                <w:szCs w:val="21"/>
              </w:rPr>
              <w:t>考试用铅笔</w:t>
            </w:r>
            <w:bookmarkEnd w:id="0"/>
          </w:p>
        </w:tc>
        <w:tc>
          <w:tcPr>
            <w:tcW w:w="1950" w:type="dxa"/>
            <w:noWrap w:val="0"/>
            <w:vAlign w:val="top"/>
          </w:tcPr>
          <w:p>
            <w:pPr>
              <w:adjustRightInd w:val="0"/>
              <w:snapToGrid w:val="0"/>
              <w:jc w:val="center"/>
              <w:rPr>
                <w:szCs w:val="21"/>
              </w:rPr>
            </w:pPr>
            <w:r>
              <w:rPr>
                <w:szCs w:val="21"/>
              </w:rPr>
              <w:t>20支</w:t>
            </w:r>
          </w:p>
        </w:tc>
        <w:tc>
          <w:tcPr>
            <w:tcW w:w="2025" w:type="dxa"/>
            <w:noWrap w:val="0"/>
            <w:vAlign w:val="center"/>
          </w:tcPr>
          <w:p>
            <w:pPr>
              <w:adjustRightInd w:val="0"/>
              <w:snapToGrid w:val="0"/>
              <w:jc w:val="center"/>
              <w:rPr>
                <w:szCs w:val="21"/>
              </w:rPr>
            </w:pPr>
            <w:r>
              <w:rPr>
                <w:szCs w:val="21"/>
              </w:rPr>
              <w:t>10支</w:t>
            </w:r>
          </w:p>
        </w:tc>
        <w:tc>
          <w:tcPr>
            <w:tcW w:w="1950" w:type="dxa"/>
            <w:noWrap w:val="0"/>
            <w:vAlign w:val="top"/>
          </w:tcPr>
          <w:p>
            <w:pPr>
              <w:adjustRightInd w:val="0"/>
              <w:snapToGrid w:val="0"/>
              <w:jc w:val="center"/>
              <w:rPr>
                <w:szCs w:val="21"/>
              </w:rPr>
            </w:pPr>
            <w:r>
              <w:rPr>
                <w:szCs w:val="21"/>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 w:type="dxa"/>
            <w:vMerge w:val="continue"/>
            <w:noWrap w:val="0"/>
            <w:vAlign w:val="center"/>
          </w:tcPr>
          <w:p>
            <w:pPr>
              <w:adjustRightInd w:val="0"/>
              <w:snapToGrid w:val="0"/>
              <w:jc w:val="center"/>
              <w:rPr>
                <w:szCs w:val="21"/>
              </w:rPr>
            </w:pPr>
          </w:p>
        </w:tc>
        <w:tc>
          <w:tcPr>
            <w:tcW w:w="870" w:type="dxa"/>
            <w:vMerge w:val="continue"/>
            <w:noWrap w:val="0"/>
            <w:vAlign w:val="center"/>
          </w:tcPr>
          <w:p>
            <w:pPr>
              <w:adjustRightInd w:val="0"/>
              <w:snapToGrid w:val="0"/>
              <w:jc w:val="center"/>
              <w:rPr>
                <w:szCs w:val="21"/>
              </w:rPr>
            </w:pPr>
          </w:p>
        </w:tc>
        <w:tc>
          <w:tcPr>
            <w:tcW w:w="1695" w:type="dxa"/>
            <w:noWrap w:val="0"/>
            <w:vAlign w:val="center"/>
          </w:tcPr>
          <w:p>
            <w:pPr>
              <w:adjustRightInd w:val="0"/>
              <w:snapToGrid w:val="0"/>
              <w:jc w:val="center"/>
              <w:rPr>
                <w:szCs w:val="21"/>
              </w:rPr>
            </w:pPr>
            <w:r>
              <w:rPr>
                <w:szCs w:val="21"/>
              </w:rPr>
              <w:t>铅芯</w:t>
            </w:r>
          </w:p>
        </w:tc>
        <w:tc>
          <w:tcPr>
            <w:tcW w:w="1950" w:type="dxa"/>
            <w:noWrap w:val="0"/>
            <w:vAlign w:val="top"/>
          </w:tcPr>
          <w:p>
            <w:pPr>
              <w:adjustRightInd w:val="0"/>
              <w:snapToGrid w:val="0"/>
              <w:jc w:val="center"/>
              <w:rPr>
                <w:szCs w:val="21"/>
              </w:rPr>
            </w:pPr>
            <w:r>
              <w:rPr>
                <w:szCs w:val="21"/>
              </w:rPr>
              <w:t>2盒</w:t>
            </w:r>
          </w:p>
        </w:tc>
        <w:tc>
          <w:tcPr>
            <w:tcW w:w="2025" w:type="dxa"/>
            <w:noWrap w:val="0"/>
            <w:vAlign w:val="center"/>
          </w:tcPr>
          <w:p>
            <w:pPr>
              <w:adjustRightInd w:val="0"/>
              <w:snapToGrid w:val="0"/>
              <w:jc w:val="center"/>
              <w:rPr>
                <w:szCs w:val="21"/>
              </w:rPr>
            </w:pPr>
            <w:r>
              <w:rPr>
                <w:szCs w:val="21"/>
              </w:rPr>
              <w:t>1盒</w:t>
            </w:r>
          </w:p>
        </w:tc>
        <w:tc>
          <w:tcPr>
            <w:tcW w:w="1950" w:type="dxa"/>
            <w:noWrap w:val="0"/>
            <w:vAlign w:val="center"/>
          </w:tcPr>
          <w:p>
            <w:pPr>
              <w:adjustRightInd w:val="0"/>
              <w:snapToGrid w:val="0"/>
              <w:jc w:val="center"/>
              <w:rPr>
                <w:szCs w:val="21"/>
              </w:rPr>
            </w:pPr>
            <w:r>
              <w:rPr>
                <w:szCs w:val="21"/>
              </w:rPr>
              <w:t>1盒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4" w:type="dxa"/>
            <w:noWrap w:val="0"/>
            <w:vAlign w:val="center"/>
          </w:tcPr>
          <w:p>
            <w:pPr>
              <w:adjustRightInd w:val="0"/>
              <w:snapToGrid w:val="0"/>
              <w:jc w:val="center"/>
              <w:rPr>
                <w:rFonts w:hint="eastAsia" w:eastAsia="宋体"/>
                <w:szCs w:val="21"/>
                <w:lang w:eastAsia="zh-CN"/>
              </w:rPr>
            </w:pPr>
            <w:r>
              <w:rPr>
                <w:rFonts w:hint="eastAsia"/>
                <w:szCs w:val="21"/>
                <w:lang w:val="en-US" w:eastAsia="zh-CN"/>
              </w:rPr>
              <w:t>2</w:t>
            </w:r>
          </w:p>
        </w:tc>
        <w:tc>
          <w:tcPr>
            <w:tcW w:w="2565" w:type="dxa"/>
            <w:gridSpan w:val="2"/>
            <w:noWrap w:val="0"/>
            <w:vAlign w:val="center"/>
          </w:tcPr>
          <w:p>
            <w:pPr>
              <w:adjustRightInd w:val="0"/>
              <w:snapToGrid w:val="0"/>
              <w:jc w:val="center"/>
              <w:rPr>
                <w:szCs w:val="21"/>
              </w:rPr>
            </w:pPr>
            <w:r>
              <w:rPr>
                <w:szCs w:val="21"/>
              </w:rPr>
              <w:t>橡皮擦</w:t>
            </w:r>
          </w:p>
        </w:tc>
        <w:tc>
          <w:tcPr>
            <w:tcW w:w="1950" w:type="dxa"/>
            <w:noWrap w:val="0"/>
            <w:vAlign w:val="center"/>
          </w:tcPr>
          <w:p>
            <w:pPr>
              <w:adjustRightInd w:val="0"/>
              <w:snapToGrid w:val="0"/>
              <w:jc w:val="center"/>
              <w:rPr>
                <w:szCs w:val="21"/>
              </w:rPr>
            </w:pPr>
            <w:r>
              <w:rPr>
                <w:szCs w:val="21"/>
              </w:rPr>
              <w:t>2块</w:t>
            </w:r>
          </w:p>
        </w:tc>
        <w:tc>
          <w:tcPr>
            <w:tcW w:w="2025" w:type="dxa"/>
            <w:noWrap w:val="0"/>
            <w:vAlign w:val="center"/>
          </w:tcPr>
          <w:p>
            <w:pPr>
              <w:adjustRightInd w:val="0"/>
              <w:snapToGrid w:val="0"/>
              <w:jc w:val="center"/>
              <w:rPr>
                <w:szCs w:val="21"/>
              </w:rPr>
            </w:pPr>
            <w:r>
              <w:rPr>
                <w:szCs w:val="21"/>
              </w:rPr>
              <w:t>1块</w:t>
            </w:r>
          </w:p>
        </w:tc>
        <w:tc>
          <w:tcPr>
            <w:tcW w:w="1950" w:type="dxa"/>
            <w:noWrap w:val="0"/>
            <w:vAlign w:val="center"/>
          </w:tcPr>
          <w:p>
            <w:pPr>
              <w:adjustRightInd w:val="0"/>
              <w:snapToGrid w:val="0"/>
              <w:jc w:val="center"/>
              <w:rPr>
                <w:szCs w:val="21"/>
              </w:rPr>
            </w:pPr>
            <w:r>
              <w:rPr>
                <w:szCs w:val="21"/>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14" w:type="dxa"/>
            <w:gridSpan w:val="6"/>
            <w:noWrap w:val="0"/>
            <w:vAlign w:val="center"/>
          </w:tcPr>
          <w:p>
            <w:pPr>
              <w:adjustRightInd w:val="0"/>
              <w:snapToGrid w:val="0"/>
              <w:jc w:val="left"/>
              <w:rPr>
                <w:szCs w:val="21"/>
              </w:rPr>
            </w:pPr>
            <w:r>
              <w:rPr>
                <w:szCs w:val="21"/>
              </w:rPr>
              <w:t>注：抽样时以最小独立包装为抽样单元，样品数满足上述抽样数量。</w:t>
            </w:r>
          </w:p>
        </w:tc>
      </w:tr>
    </w:tbl>
    <w:p>
      <w:pPr>
        <w:spacing w:line="440" w:lineRule="exact"/>
        <w:ind w:firstLine="420"/>
        <w:jc w:val="left"/>
        <w:rPr>
          <w:szCs w:val="21"/>
        </w:rPr>
      </w:pPr>
    </w:p>
    <w:p>
      <w:pPr>
        <w:pStyle w:val="16"/>
        <w:tabs>
          <w:tab w:val="left" w:pos="438"/>
        </w:tabs>
        <w:autoSpaceDE w:val="0"/>
        <w:autoSpaceDN w:val="0"/>
        <w:spacing w:before="156" w:beforeLines="50" w:after="156" w:afterLines="50" w:line="440" w:lineRule="exact"/>
        <w:ind w:firstLine="0" w:firstLineChars="0"/>
        <w:jc w:val="left"/>
        <w:rPr>
          <w:sz w:val="24"/>
          <w:szCs w:val="21"/>
        </w:rPr>
      </w:pPr>
      <w:r>
        <w:rPr>
          <w:rFonts w:ascii="黑体" w:hAnsi="黑体" w:eastAsia="黑体" w:cs="黑体"/>
          <w:color w:val="auto"/>
          <w:szCs w:val="24"/>
          <w:lang w:val="zh-CN" w:bidi="zh-CN"/>
        </w:rPr>
        <w:t>2 检验依据</w:t>
      </w:r>
    </w:p>
    <w:p>
      <w:pPr>
        <w:snapToGrid w:val="0"/>
        <w:spacing w:line="440" w:lineRule="exact"/>
        <w:jc w:val="center"/>
        <w:rPr>
          <w:sz w:val="24"/>
          <w:szCs w:val="21"/>
        </w:rPr>
      </w:pPr>
      <w:r>
        <w:rPr>
          <w:rFonts w:ascii="Times New Roman" w:hAnsi="Times New Roman" w:eastAsia="宋体" w:cs="Times New Roman"/>
          <w:szCs w:val="21"/>
        </w:rPr>
        <w:t>表</w:t>
      </w: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 xml:space="preserve"> 学</w:t>
      </w:r>
      <w:r>
        <w:rPr>
          <w:szCs w:val="21"/>
        </w:rPr>
        <w:t>生文具（书写笔）</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827"/>
        <w:gridCol w:w="4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序号</w:t>
            </w:r>
          </w:p>
        </w:tc>
        <w:tc>
          <w:tcPr>
            <w:tcW w:w="2086"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检验项目</w:t>
            </w:r>
          </w:p>
        </w:tc>
        <w:tc>
          <w:tcPr>
            <w:tcW w:w="2314"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1</w:t>
            </w:r>
          </w:p>
        </w:tc>
        <w:tc>
          <w:tcPr>
            <w:tcW w:w="2086"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可迁移元素的限量</w:t>
            </w:r>
          </w:p>
        </w:tc>
        <w:tc>
          <w:tcPr>
            <w:tcW w:w="2314"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GB 6675.4</w:t>
            </w:r>
            <w:r>
              <w:rPr>
                <w:rFonts w:hint="eastAsia"/>
                <w:szCs w:val="21"/>
                <w:lang w:val="en-US" w:eastAsia="zh-CN"/>
              </w:rPr>
              <w:t>-</w:t>
            </w:r>
            <w:r>
              <w:rPr>
                <w:szCs w:val="21"/>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2</w:t>
            </w:r>
          </w:p>
        </w:tc>
        <w:tc>
          <w:tcPr>
            <w:tcW w:w="2086"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可触及的塑料件中邻苯二甲酸酯增塑剂的限量</w:t>
            </w:r>
          </w:p>
        </w:tc>
        <w:tc>
          <w:tcPr>
            <w:tcW w:w="2314"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kern w:val="0"/>
                <w:szCs w:val="21"/>
              </w:rPr>
              <w:t>GB/T 22048</w:t>
            </w:r>
            <w:r>
              <w:rPr>
                <w:rFonts w:hint="eastAsia"/>
                <w:szCs w:val="21"/>
                <w:lang w:val="en-US" w:eastAsia="zh-CN"/>
              </w:rPr>
              <w:t>-</w:t>
            </w:r>
            <w:r>
              <w:rPr>
                <w:kern w:val="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3</w:t>
            </w:r>
          </w:p>
        </w:tc>
        <w:tc>
          <w:tcPr>
            <w:tcW w:w="2086"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笔套安全</w:t>
            </w:r>
          </w:p>
        </w:tc>
        <w:tc>
          <w:tcPr>
            <w:tcW w:w="2314"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GB 21027</w:t>
            </w:r>
            <w:r>
              <w:rPr>
                <w:rFonts w:hint="eastAsia"/>
                <w:szCs w:val="21"/>
                <w:lang w:val="en-US" w:eastAsia="zh-CN"/>
              </w:rPr>
              <w:t>-</w:t>
            </w:r>
            <w:r>
              <w:rPr>
                <w:szCs w:val="21"/>
              </w:rPr>
              <w:t xml:space="preserve">2020 </w:t>
            </w:r>
          </w:p>
        </w:tc>
      </w:tr>
    </w:tbl>
    <w:p>
      <w:pPr>
        <w:adjustRightInd w:val="0"/>
        <w:snapToGrid w:val="0"/>
        <w:spacing w:line="440" w:lineRule="exact"/>
        <w:jc w:val="center"/>
        <w:rPr>
          <w:szCs w:val="21"/>
        </w:rPr>
      </w:pPr>
      <w:bookmarkStart w:id="2" w:name="_GoBack"/>
      <w:bookmarkEnd w:id="2"/>
      <w:r>
        <w:rPr>
          <w:rFonts w:ascii="Times New Roman" w:hAnsi="Times New Roman" w:eastAsia="宋体" w:cs="Times New Roman"/>
          <w:szCs w:val="21"/>
        </w:rPr>
        <w:t>表</w:t>
      </w:r>
      <w:r>
        <w:rPr>
          <w:rFonts w:hint="eastAsia" w:ascii="Times New Roman" w:hAnsi="Times New Roman" w:eastAsia="宋体" w:cs="Times New Roman"/>
          <w:szCs w:val="21"/>
          <w:lang w:val="en-US" w:eastAsia="zh-CN"/>
        </w:rPr>
        <w:t>3</w:t>
      </w:r>
      <w:r>
        <w:rPr>
          <w:rFonts w:ascii="Times New Roman" w:hAnsi="Times New Roman" w:eastAsia="宋体" w:cs="Times New Roman"/>
          <w:szCs w:val="21"/>
        </w:rPr>
        <w:t xml:space="preserve"> 学生文具（橡</w:t>
      </w:r>
      <w:r>
        <w:rPr>
          <w:szCs w:val="21"/>
        </w:rPr>
        <w:t>皮擦）</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3831"/>
        <w:gridCol w:w="4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98"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序号</w:t>
            </w:r>
          </w:p>
        </w:tc>
        <w:tc>
          <w:tcPr>
            <w:tcW w:w="2088"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检验项目</w:t>
            </w:r>
          </w:p>
        </w:tc>
        <w:tc>
          <w:tcPr>
            <w:tcW w:w="2314"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8"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1</w:t>
            </w:r>
          </w:p>
        </w:tc>
        <w:tc>
          <w:tcPr>
            <w:tcW w:w="2088"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可迁移元素的限量</w:t>
            </w:r>
          </w:p>
        </w:tc>
        <w:tc>
          <w:tcPr>
            <w:tcW w:w="2314"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GB 6675.4</w:t>
            </w:r>
            <w:r>
              <w:rPr>
                <w:rFonts w:hint="eastAsia"/>
                <w:szCs w:val="21"/>
                <w:lang w:val="en-US" w:eastAsia="zh-CN"/>
              </w:rPr>
              <w:t>-</w:t>
            </w:r>
            <w:r>
              <w:rPr>
                <w:szCs w:val="21"/>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8"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2</w:t>
            </w:r>
          </w:p>
        </w:tc>
        <w:tc>
          <w:tcPr>
            <w:tcW w:w="2088"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可触及的塑料件中邻苯二甲酸酯增塑剂的限量</w:t>
            </w:r>
          </w:p>
        </w:tc>
        <w:tc>
          <w:tcPr>
            <w:tcW w:w="2314"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kern w:val="0"/>
                <w:szCs w:val="21"/>
              </w:rPr>
              <w:t>GB/T 22048</w:t>
            </w:r>
            <w:r>
              <w:rPr>
                <w:rFonts w:hint="eastAsia"/>
                <w:szCs w:val="21"/>
                <w:lang w:val="en-US" w:eastAsia="zh-CN"/>
              </w:rPr>
              <w:t>-</w:t>
            </w:r>
            <w:r>
              <w:rPr>
                <w:kern w:val="0"/>
                <w:szCs w:val="21"/>
              </w:rPr>
              <w:t>2022</w:t>
            </w:r>
          </w:p>
        </w:tc>
      </w:tr>
    </w:tbl>
    <w:p>
      <w:pPr>
        <w:adjustRightInd w:val="0"/>
        <w:snapToGrid w:val="0"/>
        <w:spacing w:line="440" w:lineRule="exact"/>
        <w:ind w:firstLine="420" w:firstLineChars="200"/>
        <w:rPr>
          <w:color w:val="auto"/>
          <w:szCs w:val="21"/>
        </w:rPr>
      </w:pPr>
      <w:r>
        <w:rPr>
          <w:color w:val="auto"/>
          <w:szCs w:val="21"/>
        </w:rPr>
        <w:t>执行企业标准、团体标准、地方标准的产品，检验项目参照上述内容执行。</w:t>
      </w:r>
      <w:bookmarkStart w:id="1" w:name="_Hlk101710548"/>
    </w:p>
    <w:bookmarkEnd w:id="1"/>
    <w:p>
      <w:pPr>
        <w:pStyle w:val="16"/>
        <w:tabs>
          <w:tab w:val="left" w:pos="438"/>
        </w:tabs>
        <w:autoSpaceDE w:val="0"/>
        <w:autoSpaceDN w:val="0"/>
        <w:spacing w:before="156" w:beforeLines="50" w:after="156" w:afterLines="50" w:line="440" w:lineRule="exact"/>
        <w:ind w:firstLine="0" w:firstLineChars="0"/>
        <w:jc w:val="left"/>
        <w:rPr>
          <w:rFonts w:ascii="黑体" w:hAnsi="黑体" w:eastAsia="黑体" w:cs="黑体"/>
          <w:color w:val="auto"/>
          <w:szCs w:val="24"/>
          <w:lang w:val="zh-CN" w:bidi="zh-CN"/>
        </w:rPr>
      </w:pPr>
      <w:r>
        <w:rPr>
          <w:rFonts w:ascii="黑体" w:hAnsi="黑体" w:eastAsia="黑体" w:cs="黑体"/>
          <w:color w:val="auto"/>
          <w:szCs w:val="24"/>
          <w:lang w:val="zh-CN" w:bidi="zh-CN"/>
        </w:rPr>
        <w:t>3 判定规则</w:t>
      </w:r>
    </w:p>
    <w:p>
      <w:pPr>
        <w:pStyle w:val="18"/>
        <w:rPr>
          <w:color w:val="auto"/>
        </w:rPr>
      </w:pPr>
      <w:r>
        <w:rPr>
          <w:color w:val="auto"/>
        </w:rPr>
        <w:t>3.1依据标准</w:t>
      </w:r>
    </w:p>
    <w:p>
      <w:pPr>
        <w:adjustRightInd w:val="0"/>
        <w:snapToGrid w:val="0"/>
        <w:spacing w:line="440" w:lineRule="exact"/>
        <w:ind w:firstLine="420" w:firstLineChars="200"/>
        <w:rPr>
          <w:szCs w:val="21"/>
        </w:rPr>
      </w:pPr>
      <w:r>
        <w:rPr>
          <w:szCs w:val="21"/>
        </w:rPr>
        <w:t>GB 21027</w:t>
      </w:r>
      <w:r>
        <w:rPr>
          <w:rFonts w:hint="eastAsia"/>
          <w:szCs w:val="21"/>
          <w:lang w:val="en-US" w:eastAsia="zh-CN"/>
        </w:rPr>
        <w:t>-</w:t>
      </w:r>
      <w:r>
        <w:rPr>
          <w:szCs w:val="21"/>
        </w:rPr>
        <w:t>2020 学生用品的安全通用要求</w:t>
      </w:r>
    </w:p>
    <w:p>
      <w:pPr>
        <w:spacing w:line="440" w:lineRule="exact"/>
        <w:ind w:firstLine="420" w:firstLineChars="200"/>
        <w:rPr>
          <w:bCs/>
          <w:strike/>
          <w:color w:val="auto"/>
          <w:szCs w:val="21"/>
        </w:rPr>
      </w:pPr>
      <w:r>
        <w:rPr>
          <w:color w:val="auto"/>
          <w:szCs w:val="21"/>
        </w:rPr>
        <w:t>现行有效的企业标准、团体标准、地方标准及产品明示质量要求</w:t>
      </w:r>
    </w:p>
    <w:p>
      <w:pPr>
        <w:pStyle w:val="18"/>
        <w:rPr>
          <w:color w:val="auto"/>
        </w:rPr>
      </w:pPr>
      <w:r>
        <w:rPr>
          <w:color w:val="auto"/>
        </w:rPr>
        <w:t>3.2判定原则</w:t>
      </w:r>
    </w:p>
    <w:p>
      <w:pPr>
        <w:snapToGrid w:val="0"/>
        <w:spacing w:line="440" w:lineRule="exact"/>
        <w:ind w:firstLine="420" w:firstLineChars="200"/>
        <w:rPr>
          <w:rFonts w:hint="eastAsia" w:ascii="宋体" w:hAnsi="宋体" w:eastAsia="宋体" w:cs="Times New Roman"/>
          <w:color w:val="auto"/>
          <w:szCs w:val="21"/>
        </w:rPr>
      </w:pPr>
      <w:r>
        <w:rPr>
          <w:rFonts w:hint="eastAsia" w:ascii="宋体" w:hAnsi="宋体"/>
          <w:color w:val="auto"/>
          <w:szCs w:val="21"/>
        </w:rPr>
        <w:t>经检验，检验项目全部合格，判定为被抽查产品所检项目未发现不合格；检验项目中任一项或一项以上不合格，判定为被抽查产品不合格。</w:t>
      </w:r>
    </w:p>
    <w:p>
      <w:pPr>
        <w:snapToGrid w:val="0"/>
        <w:spacing w:line="440" w:lineRule="exact"/>
        <w:ind w:firstLine="420" w:firstLineChars="200"/>
        <w:rPr>
          <w:rFonts w:ascii="宋体"/>
          <w:color w:val="auto"/>
          <w:szCs w:val="21"/>
        </w:rPr>
      </w:pPr>
      <w:r>
        <w:rPr>
          <w:rFonts w:hint="eastAsia" w:ascii="宋体" w:hAnsi="宋体"/>
          <w:color w:val="auto"/>
          <w:szCs w:val="21"/>
        </w:rPr>
        <w:t>若被检产品明示的质量要求高于本细则中检验项目依据的标准要求时，应按被检产品明示的质量要求判定。</w:t>
      </w:r>
    </w:p>
    <w:p>
      <w:pPr>
        <w:snapToGrid w:val="0"/>
        <w:spacing w:line="440" w:lineRule="exact"/>
        <w:ind w:firstLine="420" w:firstLineChars="200"/>
        <w:rPr>
          <w:rFonts w:ascii="宋体"/>
          <w:color w:val="auto"/>
          <w:szCs w:val="21"/>
        </w:rPr>
      </w:pPr>
      <w:r>
        <w:rPr>
          <w:rFonts w:hint="eastAsia" w:ascii="宋体" w:hAnsi="宋体"/>
          <w:color w:val="auto"/>
          <w:szCs w:val="21"/>
        </w:rPr>
        <w:t>若被检产品明示的质量要求低于本细则中检验项目依据的强制性标准要求时，应按照强制性标准要求判定。</w:t>
      </w:r>
    </w:p>
    <w:p>
      <w:pPr>
        <w:snapToGrid w:val="0"/>
        <w:spacing w:line="440" w:lineRule="exact"/>
        <w:ind w:firstLine="420" w:firstLineChars="200"/>
        <w:rPr>
          <w:rFonts w:ascii="宋体"/>
          <w:color w:val="auto"/>
          <w:szCs w:val="21"/>
        </w:rPr>
      </w:pPr>
      <w:r>
        <w:rPr>
          <w:rFonts w:hint="eastAsia" w:ascii="宋体" w:hAnsi="宋体"/>
          <w:color w:val="auto"/>
          <w:szCs w:val="21"/>
        </w:rPr>
        <w:t>若被检产品明示的质量要求低于或包含本细则中检验项目依据的推荐性标准要求时，应以被检产品明示的质量要求判定。</w:t>
      </w:r>
    </w:p>
    <w:p>
      <w:pPr>
        <w:snapToGrid w:val="0"/>
        <w:spacing w:line="440" w:lineRule="exact"/>
        <w:ind w:firstLine="420" w:firstLineChars="200"/>
        <w:rPr>
          <w:rFonts w:ascii="宋体"/>
          <w:color w:val="auto"/>
          <w:szCs w:val="21"/>
        </w:rPr>
      </w:pPr>
      <w:r>
        <w:rPr>
          <w:rFonts w:hint="eastAsia" w:ascii="宋体" w:hAnsi="宋体"/>
          <w:color w:val="auto"/>
          <w:szCs w:val="21"/>
        </w:rPr>
        <w:t>若被检产品明示的质量要求缺少本细则中检验项目依据的强制性标准要求时，应按照强制性标准要求判定。</w:t>
      </w:r>
    </w:p>
    <w:p>
      <w:pPr>
        <w:snapToGrid w:val="0"/>
        <w:spacing w:line="240" w:lineRule="auto"/>
        <w:ind w:firstLine="420" w:firstLineChars="200"/>
        <w:rPr>
          <w:rFonts w:ascii="宋体" w:cs="宋体"/>
          <w:color w:val="auto"/>
          <w:kern w:val="0"/>
          <w:szCs w:val="21"/>
        </w:rPr>
      </w:pPr>
      <w:r>
        <w:rPr>
          <w:rFonts w:hint="eastAsia" w:ascii="宋体" w:hAnsi="宋体"/>
          <w:color w:val="auto"/>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en-US"/>
      </w:rPr>
      <w:t>1</w:t>
    </w:r>
    <w: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1ODRiYmU4NDFiZWIwZjAzZmQ4ZjdiODBmODk1NmEifQ=="/>
  </w:docVars>
  <w:rsids>
    <w:rsidRoot w:val="00B4742C"/>
    <w:rsid w:val="00024CC3"/>
    <w:rsid w:val="000658AA"/>
    <w:rsid w:val="00066F91"/>
    <w:rsid w:val="00073DD7"/>
    <w:rsid w:val="000B1EB1"/>
    <w:rsid w:val="000F3245"/>
    <w:rsid w:val="00110537"/>
    <w:rsid w:val="00146928"/>
    <w:rsid w:val="001525ED"/>
    <w:rsid w:val="001A378B"/>
    <w:rsid w:val="001C4DD7"/>
    <w:rsid w:val="001D6315"/>
    <w:rsid w:val="002A0CD5"/>
    <w:rsid w:val="002A6289"/>
    <w:rsid w:val="002E165D"/>
    <w:rsid w:val="003116A5"/>
    <w:rsid w:val="0031563A"/>
    <w:rsid w:val="00335A02"/>
    <w:rsid w:val="003416E6"/>
    <w:rsid w:val="003519D7"/>
    <w:rsid w:val="00383C2A"/>
    <w:rsid w:val="003B0CD8"/>
    <w:rsid w:val="003C0A55"/>
    <w:rsid w:val="003C58A5"/>
    <w:rsid w:val="003E24F8"/>
    <w:rsid w:val="003F2646"/>
    <w:rsid w:val="00462F0D"/>
    <w:rsid w:val="00491D5A"/>
    <w:rsid w:val="004B4FF5"/>
    <w:rsid w:val="004C3B18"/>
    <w:rsid w:val="004C72C5"/>
    <w:rsid w:val="004C73C3"/>
    <w:rsid w:val="004D31EE"/>
    <w:rsid w:val="00536FC4"/>
    <w:rsid w:val="005C0B9D"/>
    <w:rsid w:val="005D5A8C"/>
    <w:rsid w:val="0061185A"/>
    <w:rsid w:val="00641194"/>
    <w:rsid w:val="00664070"/>
    <w:rsid w:val="006D226F"/>
    <w:rsid w:val="006D3C73"/>
    <w:rsid w:val="0070079E"/>
    <w:rsid w:val="00761E48"/>
    <w:rsid w:val="00784764"/>
    <w:rsid w:val="00794DED"/>
    <w:rsid w:val="007B5A34"/>
    <w:rsid w:val="007B66FE"/>
    <w:rsid w:val="007C3C13"/>
    <w:rsid w:val="008051AA"/>
    <w:rsid w:val="00857C0E"/>
    <w:rsid w:val="008B2D53"/>
    <w:rsid w:val="008F6FFF"/>
    <w:rsid w:val="0090340F"/>
    <w:rsid w:val="00920FC2"/>
    <w:rsid w:val="00925875"/>
    <w:rsid w:val="0093233A"/>
    <w:rsid w:val="009E2EEC"/>
    <w:rsid w:val="00AB37F2"/>
    <w:rsid w:val="00AB38F1"/>
    <w:rsid w:val="00B4742C"/>
    <w:rsid w:val="00BA4C3D"/>
    <w:rsid w:val="00BC364A"/>
    <w:rsid w:val="00C2597E"/>
    <w:rsid w:val="00C50BB6"/>
    <w:rsid w:val="00C96F14"/>
    <w:rsid w:val="00CA1052"/>
    <w:rsid w:val="00CA2402"/>
    <w:rsid w:val="00D03B6E"/>
    <w:rsid w:val="00D14605"/>
    <w:rsid w:val="00D27DFF"/>
    <w:rsid w:val="00D66105"/>
    <w:rsid w:val="00D86E21"/>
    <w:rsid w:val="00DA208C"/>
    <w:rsid w:val="00DB1312"/>
    <w:rsid w:val="00DB40DD"/>
    <w:rsid w:val="00DE0C87"/>
    <w:rsid w:val="00DE0D14"/>
    <w:rsid w:val="00DF16EE"/>
    <w:rsid w:val="00E023C9"/>
    <w:rsid w:val="00E12338"/>
    <w:rsid w:val="00E16EF9"/>
    <w:rsid w:val="00E85545"/>
    <w:rsid w:val="00EA2566"/>
    <w:rsid w:val="00EA71AE"/>
    <w:rsid w:val="00EE479F"/>
    <w:rsid w:val="00F01B54"/>
    <w:rsid w:val="00F05A01"/>
    <w:rsid w:val="00F1530A"/>
    <w:rsid w:val="00F54155"/>
    <w:rsid w:val="00F92AB0"/>
    <w:rsid w:val="00FB1BD0"/>
    <w:rsid w:val="00FD4E25"/>
    <w:rsid w:val="0A781DD8"/>
    <w:rsid w:val="0AB5167F"/>
    <w:rsid w:val="139F6FB4"/>
    <w:rsid w:val="13A617CC"/>
    <w:rsid w:val="17144869"/>
    <w:rsid w:val="17261FFA"/>
    <w:rsid w:val="24444E60"/>
    <w:rsid w:val="24BF7592"/>
    <w:rsid w:val="2AF06156"/>
    <w:rsid w:val="2BA671F3"/>
    <w:rsid w:val="2FEC17E4"/>
    <w:rsid w:val="33A36C75"/>
    <w:rsid w:val="354B57C0"/>
    <w:rsid w:val="377C5F48"/>
    <w:rsid w:val="37FFA6F2"/>
    <w:rsid w:val="38D1695D"/>
    <w:rsid w:val="3C3A3734"/>
    <w:rsid w:val="3CCB2974"/>
    <w:rsid w:val="43866AFE"/>
    <w:rsid w:val="49F67435"/>
    <w:rsid w:val="4B5832DF"/>
    <w:rsid w:val="50C0526A"/>
    <w:rsid w:val="522272BA"/>
    <w:rsid w:val="52A41CCF"/>
    <w:rsid w:val="54BC073D"/>
    <w:rsid w:val="59041E30"/>
    <w:rsid w:val="5B76EE84"/>
    <w:rsid w:val="5D4667C2"/>
    <w:rsid w:val="5DE05904"/>
    <w:rsid w:val="600A5D69"/>
    <w:rsid w:val="62960302"/>
    <w:rsid w:val="647F13D0"/>
    <w:rsid w:val="675B326D"/>
    <w:rsid w:val="681861F0"/>
    <w:rsid w:val="7A6D64F5"/>
    <w:rsid w:val="7FAA26FE"/>
    <w:rsid w:val="DFEC3BD5"/>
    <w:rsid w:val="F57FC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autoSpaceDE w:val="0"/>
      <w:autoSpaceDN w:val="0"/>
      <w:adjustRightInd w:val="0"/>
      <w:spacing w:line="360" w:lineRule="auto"/>
      <w:jc w:val="center"/>
      <w:outlineLvl w:val="0"/>
    </w:pPr>
    <w:rPr>
      <w:rFonts w:eastAsia="隶书"/>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Indent"/>
    <w:basedOn w:val="1"/>
    <w:qFormat/>
    <w:uiPriority w:val="0"/>
    <w:pPr>
      <w:ind w:firstLine="600" w:firstLineChars="200"/>
    </w:pPr>
    <w:rPr>
      <w:rFonts w:ascii="Times New Roman" w:hAnsi="Times New Roman" w:eastAsia="仿宋_GB2312"/>
      <w:sz w:val="30"/>
      <w:szCs w:val="24"/>
    </w:rPr>
  </w:style>
  <w:style w:type="paragraph" w:styleId="5">
    <w:name w:val="Plain Text"/>
    <w:basedOn w:val="1"/>
    <w:uiPriority w:val="99"/>
    <w:rPr>
      <w:rFonts w:ascii="宋体" w:hAnsi="Courier New"/>
      <w:kern w:val="0"/>
      <w:sz w:val="20"/>
      <w:szCs w:val="20"/>
    </w:rPr>
  </w:style>
  <w:style w:type="paragraph" w:styleId="6">
    <w:name w:val="footer"/>
    <w:basedOn w:val="1"/>
    <w:link w:val="13"/>
    <w:unhideWhenUsed/>
    <w:qFormat/>
    <w:uiPriority w:val="99"/>
    <w:pPr>
      <w:tabs>
        <w:tab w:val="center" w:pos="4153"/>
        <w:tab w:val="right" w:pos="8306"/>
      </w:tabs>
      <w:snapToGrid w:val="0"/>
      <w:jc w:val="left"/>
    </w:pPr>
    <w:rPr>
      <w:sz w:val="18"/>
      <w:szCs w:val="18"/>
      <w:lang w:val="zh-CN"/>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8">
    <w:name w:val="Normal (Web)"/>
    <w:basedOn w:val="1"/>
    <w:unhideWhenUsed/>
    <w:qFormat/>
    <w:uiPriority w:val="0"/>
    <w:pPr>
      <w:spacing w:before="100" w:beforeAutospacing="1" w:after="100" w:afterAutospacing="1"/>
      <w:jc w:val="left"/>
    </w:pPr>
    <w:rPr>
      <w:rFonts w:ascii="Calibri" w:hAnsi="Calibri"/>
      <w:kern w:val="0"/>
      <w:sz w:val="24"/>
      <w:szCs w:val="22"/>
    </w:rPr>
  </w:style>
  <w:style w:type="character" w:styleId="11">
    <w:name w:val="page number"/>
    <w:qFormat/>
    <w:uiPriority w:val="0"/>
  </w:style>
  <w:style w:type="character" w:customStyle="1" w:styleId="12">
    <w:name w:val="页脚 字符"/>
    <w:basedOn w:val="10"/>
    <w:semiHidden/>
    <w:qFormat/>
    <w:uiPriority w:val="99"/>
    <w:rPr>
      <w:rFonts w:ascii="Times New Roman" w:hAnsi="Times New Roman" w:eastAsia="宋体" w:cs="Times New Roman"/>
      <w:sz w:val="18"/>
      <w:szCs w:val="18"/>
    </w:rPr>
  </w:style>
  <w:style w:type="character" w:customStyle="1" w:styleId="13">
    <w:name w:val="页脚 字符1"/>
    <w:link w:val="6"/>
    <w:qFormat/>
    <w:uiPriority w:val="99"/>
    <w:rPr>
      <w:rFonts w:ascii="Times New Roman" w:hAnsi="Times New Roman" w:eastAsia="宋体" w:cs="Times New Roman"/>
      <w:sz w:val="18"/>
      <w:szCs w:val="18"/>
      <w:lang w:val="zh-CN" w:eastAsia="zh-CN"/>
    </w:rPr>
  </w:style>
  <w:style w:type="character" w:customStyle="1" w:styleId="14">
    <w:name w:val="页眉 字符"/>
    <w:basedOn w:val="10"/>
    <w:semiHidden/>
    <w:qFormat/>
    <w:uiPriority w:val="99"/>
    <w:rPr>
      <w:rFonts w:ascii="Times New Roman" w:hAnsi="Times New Roman" w:eastAsia="宋体" w:cs="Times New Roman"/>
      <w:sz w:val="18"/>
      <w:szCs w:val="18"/>
    </w:rPr>
  </w:style>
  <w:style w:type="character" w:customStyle="1" w:styleId="15">
    <w:name w:val="页眉 字符1"/>
    <w:link w:val="7"/>
    <w:qFormat/>
    <w:uiPriority w:val="99"/>
    <w:rPr>
      <w:rFonts w:ascii="Times New Roman" w:hAnsi="Times New Roman" w:eastAsia="宋体" w:cs="Times New Roman"/>
      <w:sz w:val="18"/>
      <w:szCs w:val="18"/>
      <w:lang w:val="zh-CN" w:eastAsia="zh-CN"/>
    </w:rPr>
  </w:style>
  <w:style w:type="paragraph" w:styleId="16">
    <w:name w:val="List Paragraph"/>
    <w:basedOn w:val="1"/>
    <w:qFormat/>
    <w:uiPriority w:val="1"/>
    <w:pPr>
      <w:ind w:firstLine="420" w:firstLineChars="200"/>
    </w:pPr>
    <w:rPr>
      <w:rFonts w:ascii="等线" w:hAnsi="等线" w:eastAsia="等线"/>
      <w:szCs w:val="22"/>
    </w:rPr>
  </w:style>
  <w:style w:type="paragraph" w:customStyle="1" w:styleId="1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8">
    <w:name w:val="三级标题"/>
    <w:basedOn w:val="1"/>
    <w:link w:val="19"/>
    <w:qFormat/>
    <w:uiPriority w:val="0"/>
    <w:pPr>
      <w:snapToGrid w:val="0"/>
      <w:spacing w:line="440" w:lineRule="exact"/>
    </w:pPr>
    <w:rPr>
      <w:rFonts w:ascii="楷体_GB2312" w:hAnsi="楷体_GB2312" w:eastAsia="楷体_GB2312" w:cs="楷体_GB2312"/>
      <w:color w:val="000000"/>
      <w:szCs w:val="21"/>
    </w:rPr>
  </w:style>
  <w:style w:type="character" w:customStyle="1" w:styleId="19">
    <w:name w:val="三级标题 Char"/>
    <w:basedOn w:val="10"/>
    <w:link w:val="18"/>
    <w:qFormat/>
    <w:uiPriority w:val="0"/>
    <w:rPr>
      <w:rFonts w:ascii="楷体_GB2312" w:hAnsi="楷体_GB2312" w:eastAsia="楷体_GB2312" w:cs="楷体_GB2312"/>
      <w:color w:val="000000"/>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835</Words>
  <Characters>1010</Characters>
  <Lines>9</Lines>
  <Paragraphs>2</Paragraphs>
  <TotalTime>0</TotalTime>
  <ScaleCrop>false</ScaleCrop>
  <LinksUpToDate>false</LinksUpToDate>
  <CharactersWithSpaces>1033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2022-05-13T14:42:00Z</dcterms:created>
  <dc:creator>Admin</dc:creator>
  <cp:lastModifiedBy>王瑞琳</cp:lastModifiedBy>
  <dcterms:modified xsi:type="dcterms:W3CDTF">2025-09-15T06:13:38Z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9E3D7B394AE7444BA05A0B5ABB6E21DC</vt:lpwstr>
  </property>
  <property fmtid="{D5CDD505-2E9C-101B-9397-08002B2CF9AE}" pid="4" name="KSOTemplateDocerSaveRecord">
    <vt:lpwstr>eyJoZGlkIjoiZTJkMjU2MWFkMjI5NDNhMjM1NmQ0OWRlMWI3ZTEwZTAiLCJ1c2VySWQiOiIxNDM1MDQxMzc0In0=</vt:lpwstr>
  </property>
</Properties>
</file>